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42" w:rsidRDefault="00EE1342" w:rsidP="00680951">
      <w:pPr>
        <w:spacing w:line="276" w:lineRule="auto"/>
        <w:jc w:val="center"/>
        <w:rPr>
          <w:b/>
          <w:caps/>
        </w:rPr>
      </w:pPr>
    </w:p>
    <w:p w:rsidR="00EE1342" w:rsidRDefault="00EE1342" w:rsidP="00680951">
      <w:pPr>
        <w:spacing w:line="276" w:lineRule="auto"/>
        <w:jc w:val="center"/>
        <w:rPr>
          <w:b/>
          <w:caps/>
        </w:rPr>
      </w:pPr>
    </w:p>
    <w:p w:rsidR="00583CFA" w:rsidRPr="00680951" w:rsidRDefault="00115E1E" w:rsidP="00680951">
      <w:pPr>
        <w:spacing w:line="276" w:lineRule="auto"/>
        <w:jc w:val="center"/>
        <w:rPr>
          <w:b/>
          <w:caps/>
        </w:rPr>
      </w:pPr>
      <w:r w:rsidRPr="00680951">
        <w:rPr>
          <w:b/>
          <w:caps/>
        </w:rPr>
        <w:t>NOTĂ DE FUNDAMENTARE</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276"/>
        <w:gridCol w:w="1181"/>
        <w:gridCol w:w="1276"/>
        <w:gridCol w:w="1417"/>
        <w:gridCol w:w="1134"/>
        <w:gridCol w:w="1428"/>
      </w:tblGrid>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proofErr w:type="spellStart"/>
            <w:r w:rsidRPr="00680951">
              <w:rPr>
                <w:b/>
              </w:rPr>
              <w:t>Secţiunea</w:t>
            </w:r>
            <w:proofErr w:type="spellEnd"/>
            <w:r w:rsidRPr="00680951">
              <w:rPr>
                <w:b/>
              </w:rPr>
              <w:t xml:space="preserve"> 1</w:t>
            </w:r>
          </w:p>
          <w:p w:rsidR="009E04BC" w:rsidRDefault="009E04BC" w:rsidP="00680951">
            <w:pPr>
              <w:spacing w:line="276" w:lineRule="auto"/>
              <w:jc w:val="center"/>
              <w:rPr>
                <w:b/>
              </w:rPr>
            </w:pPr>
            <w:r w:rsidRPr="00680951">
              <w:rPr>
                <w:b/>
              </w:rPr>
              <w:t>Titlul act</w:t>
            </w:r>
            <w:r w:rsidR="00B17A67" w:rsidRPr="00680951">
              <w:rPr>
                <w:b/>
              </w:rPr>
              <w:t>ului</w:t>
            </w:r>
            <w:r w:rsidRPr="00680951">
              <w:rPr>
                <w:b/>
              </w:rPr>
              <w:t xml:space="preserve"> normativ </w:t>
            </w:r>
          </w:p>
          <w:p w:rsidR="00680951" w:rsidRPr="00680951" w:rsidRDefault="00680951" w:rsidP="006D2B0D">
            <w:pPr>
              <w:spacing w:line="276" w:lineRule="auto"/>
              <w:rPr>
                <w:b/>
              </w:rPr>
            </w:pPr>
          </w:p>
          <w:p w:rsidR="0046781E" w:rsidRPr="00680951" w:rsidRDefault="0046781E" w:rsidP="00680951">
            <w:pPr>
              <w:spacing w:line="276" w:lineRule="auto"/>
              <w:jc w:val="center"/>
              <w:rPr>
                <w:b/>
                <w:bCs/>
              </w:rPr>
            </w:pPr>
            <w:r w:rsidRPr="00680951">
              <w:rPr>
                <w:b/>
                <w:bCs/>
              </w:rPr>
              <w:t>HOTĂRÂRE</w:t>
            </w:r>
          </w:p>
          <w:p w:rsidR="004412AD" w:rsidRPr="008501EF" w:rsidRDefault="008B22C2" w:rsidP="008B22C2">
            <w:pPr>
              <w:autoSpaceDE w:val="0"/>
              <w:autoSpaceDN w:val="0"/>
              <w:adjustRightInd w:val="0"/>
              <w:jc w:val="both"/>
            </w:pPr>
            <w:r w:rsidRPr="008501EF">
              <w:t>pentru modificarea anexe</w:t>
            </w:r>
            <w:r w:rsidR="00FC16AB">
              <w:t>i</w:t>
            </w:r>
            <w:r w:rsidRPr="008501EF">
              <w:t xml:space="preserve"> la Hotărârea Guvernului nr. 798/2016 privind aprobarea programului de interes </w:t>
            </w:r>
            <w:proofErr w:type="spellStart"/>
            <w:r w:rsidRPr="008501EF">
              <w:t>naţional</w:t>
            </w:r>
            <w:proofErr w:type="spellEnd"/>
            <w:r w:rsidRPr="008501EF">
              <w:t xml:space="preserve"> în domeniul </w:t>
            </w:r>
            <w:proofErr w:type="spellStart"/>
            <w:r w:rsidRPr="008501EF">
              <w:t>protecţiei</w:t>
            </w:r>
            <w:proofErr w:type="spellEnd"/>
            <w:r w:rsidRPr="008501EF">
              <w:t xml:space="preserve"> </w:t>
            </w:r>
            <w:proofErr w:type="spellStart"/>
            <w:r w:rsidRPr="008501EF">
              <w:t>şi</w:t>
            </w:r>
            <w:proofErr w:type="spellEnd"/>
            <w:r w:rsidRPr="008501EF">
              <w:t xml:space="preserve"> promovării drepturilor persoanelor cu </w:t>
            </w:r>
            <w:proofErr w:type="spellStart"/>
            <w:r w:rsidRPr="008501EF">
              <w:t>dizabilităţi</w:t>
            </w:r>
            <w:proofErr w:type="spellEnd"/>
            <w:r w:rsidRPr="008501EF">
              <w:t xml:space="preserve"> "</w:t>
            </w:r>
            <w:proofErr w:type="spellStart"/>
            <w:r w:rsidRPr="008501EF">
              <w:t>Înfiinţarea</w:t>
            </w:r>
            <w:proofErr w:type="spellEnd"/>
            <w:r w:rsidRPr="008501EF">
              <w:t xml:space="preserve"> de servicii sociale de tip centre de zi, centre respiro/centre de criză </w:t>
            </w:r>
            <w:proofErr w:type="spellStart"/>
            <w:r w:rsidRPr="008501EF">
              <w:t>şi</w:t>
            </w:r>
            <w:proofErr w:type="spellEnd"/>
            <w:r w:rsidRPr="008501EF">
              <w:t xml:space="preserve"> </w:t>
            </w:r>
            <w:proofErr w:type="spellStart"/>
            <w:r w:rsidRPr="008501EF">
              <w:t>locuinţe</w:t>
            </w:r>
            <w:proofErr w:type="spellEnd"/>
            <w:r w:rsidRPr="008501EF">
              <w:t xml:space="preserve"> protejate în vederea </w:t>
            </w:r>
            <w:proofErr w:type="spellStart"/>
            <w:r w:rsidRPr="008501EF">
              <w:t>dezinstituţionalizării</w:t>
            </w:r>
            <w:proofErr w:type="spellEnd"/>
            <w:r w:rsidRPr="008501EF">
              <w:t xml:space="preserve"> persoanelor cu </w:t>
            </w:r>
            <w:proofErr w:type="spellStart"/>
            <w:r w:rsidRPr="008501EF">
              <w:t>dizabilităţi</w:t>
            </w:r>
            <w:proofErr w:type="spellEnd"/>
            <w:r w:rsidRPr="008501EF">
              <w:t xml:space="preserve"> aflate în </w:t>
            </w:r>
            <w:proofErr w:type="spellStart"/>
            <w:r w:rsidRPr="008501EF">
              <w:t>instituţii</w:t>
            </w:r>
            <w:proofErr w:type="spellEnd"/>
            <w:r w:rsidRPr="008501EF">
              <w:t xml:space="preserve"> de tip vechi </w:t>
            </w:r>
            <w:proofErr w:type="spellStart"/>
            <w:r w:rsidRPr="008501EF">
              <w:t>şi</w:t>
            </w:r>
            <w:proofErr w:type="spellEnd"/>
            <w:r w:rsidRPr="008501EF">
              <w:t xml:space="preserve"> pentru prevenirea </w:t>
            </w:r>
            <w:proofErr w:type="spellStart"/>
            <w:r w:rsidRPr="008501EF">
              <w:t>instituţionalizării</w:t>
            </w:r>
            <w:proofErr w:type="spellEnd"/>
            <w:r w:rsidRPr="008501EF">
              <w:t xml:space="preserve"> persoanelor cu </w:t>
            </w:r>
            <w:proofErr w:type="spellStart"/>
            <w:r w:rsidRPr="008501EF">
              <w:t>dizabilităţi</w:t>
            </w:r>
            <w:proofErr w:type="spellEnd"/>
            <w:r w:rsidRPr="008501EF">
              <w:t xml:space="preserve"> din comunitate" și </w:t>
            </w:r>
            <w:r w:rsidR="00FC16AB">
              <w:t xml:space="preserve">anexei </w:t>
            </w:r>
            <w:r w:rsidRPr="008501EF">
              <w:t xml:space="preserve">la Hotărârea Guvernului nr. 193/2018 privind aprobarea programului de interes </w:t>
            </w:r>
            <w:proofErr w:type="spellStart"/>
            <w:r w:rsidRPr="008501EF">
              <w:t>naţional</w:t>
            </w:r>
            <w:proofErr w:type="spellEnd"/>
            <w:r w:rsidRPr="008501EF">
              <w:t xml:space="preserve"> în domeniul </w:t>
            </w:r>
            <w:proofErr w:type="spellStart"/>
            <w:r w:rsidRPr="008501EF">
              <w:t>protecţiei</w:t>
            </w:r>
            <w:proofErr w:type="spellEnd"/>
            <w:r w:rsidRPr="008501EF">
              <w:t xml:space="preserve"> </w:t>
            </w:r>
            <w:proofErr w:type="spellStart"/>
            <w:r w:rsidRPr="008501EF">
              <w:t>şi</w:t>
            </w:r>
            <w:proofErr w:type="spellEnd"/>
            <w:r w:rsidRPr="008501EF">
              <w:t xml:space="preserve"> promovării drepturilor persoanelor cu </w:t>
            </w:r>
            <w:proofErr w:type="spellStart"/>
            <w:r w:rsidRPr="008501EF">
              <w:t>dizabilităţi</w:t>
            </w:r>
            <w:proofErr w:type="spellEnd"/>
            <w:r w:rsidRPr="008501EF">
              <w:t xml:space="preserve"> "</w:t>
            </w:r>
            <w:proofErr w:type="spellStart"/>
            <w:r w:rsidRPr="008501EF">
              <w:t>Înfiinţarea</w:t>
            </w:r>
            <w:proofErr w:type="spellEnd"/>
            <w:r w:rsidRPr="008501EF">
              <w:t xml:space="preserve"> de servicii sociale în vederea asigurării </w:t>
            </w:r>
            <w:proofErr w:type="spellStart"/>
            <w:r w:rsidRPr="008501EF">
              <w:t>tranziţiei</w:t>
            </w:r>
            <w:proofErr w:type="spellEnd"/>
            <w:r w:rsidRPr="008501EF">
              <w:t xml:space="preserve"> tinerilor cu </w:t>
            </w:r>
            <w:proofErr w:type="spellStart"/>
            <w:r w:rsidRPr="008501EF">
              <w:t>dizabilităţi</w:t>
            </w:r>
            <w:proofErr w:type="spellEnd"/>
            <w:r w:rsidRPr="008501EF">
              <w:t xml:space="preserve"> de la sistemul de </w:t>
            </w:r>
            <w:proofErr w:type="spellStart"/>
            <w:r w:rsidRPr="008501EF">
              <w:t>protecţie</w:t>
            </w:r>
            <w:proofErr w:type="spellEnd"/>
            <w:r w:rsidRPr="008501EF">
              <w:t xml:space="preserve"> specială a copilului către sistemul de </w:t>
            </w:r>
            <w:proofErr w:type="spellStart"/>
            <w:r w:rsidRPr="008501EF">
              <w:t>protecţie</w:t>
            </w:r>
            <w:proofErr w:type="spellEnd"/>
            <w:r w:rsidRPr="008501EF">
              <w:t xml:space="preserve"> a persoanelor adulte cu </w:t>
            </w:r>
            <w:proofErr w:type="spellStart"/>
            <w:r w:rsidRPr="008501EF">
              <w:t>dizabilităţi</w:t>
            </w:r>
            <w:proofErr w:type="spellEnd"/>
            <w:r w:rsidRPr="008501EF">
              <w:t>"</w:t>
            </w:r>
          </w:p>
          <w:p w:rsidR="00680951" w:rsidRPr="00680951" w:rsidRDefault="00680951" w:rsidP="006D2B0D">
            <w:pPr>
              <w:autoSpaceDE w:val="0"/>
              <w:autoSpaceDN w:val="0"/>
              <w:adjustRightInd w:val="0"/>
              <w:jc w:val="both"/>
              <w:rPr>
                <w:b/>
              </w:rPr>
            </w:pP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proofErr w:type="spellStart"/>
            <w:r w:rsidRPr="00680951">
              <w:rPr>
                <w:b/>
              </w:rPr>
              <w:t>Secţiunea</w:t>
            </w:r>
            <w:proofErr w:type="spellEnd"/>
            <w:r w:rsidRPr="00680951">
              <w:rPr>
                <w:b/>
              </w:rPr>
              <w:t xml:space="preserve"> a 2-a</w:t>
            </w:r>
          </w:p>
          <w:p w:rsidR="00680951" w:rsidRPr="00680951" w:rsidRDefault="009E04BC" w:rsidP="004412AD">
            <w:pPr>
              <w:spacing w:line="276" w:lineRule="auto"/>
              <w:jc w:val="center"/>
              <w:rPr>
                <w:b/>
              </w:rPr>
            </w:pPr>
            <w:r w:rsidRPr="00680951">
              <w:rPr>
                <w:b/>
              </w:rPr>
              <w:t>Motivul emiterii actului normativ</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Default="009E04BC" w:rsidP="00680951">
            <w:pPr>
              <w:numPr>
                <w:ilvl w:val="0"/>
                <w:numId w:val="8"/>
              </w:numPr>
              <w:spacing w:line="276" w:lineRule="auto"/>
              <w:jc w:val="both"/>
              <w:rPr>
                <w:b/>
              </w:rPr>
            </w:pPr>
            <w:r w:rsidRPr="00680951">
              <w:rPr>
                <w:b/>
              </w:rPr>
              <w:t xml:space="preserve">Descrierea </w:t>
            </w:r>
            <w:proofErr w:type="spellStart"/>
            <w:r w:rsidRPr="00680951">
              <w:rPr>
                <w:b/>
              </w:rPr>
              <w:t>situaţiei</w:t>
            </w:r>
            <w:proofErr w:type="spellEnd"/>
            <w:r w:rsidRPr="00680951">
              <w:rPr>
                <w:b/>
              </w:rPr>
              <w:t xml:space="preserve"> actuale</w:t>
            </w:r>
          </w:p>
          <w:p w:rsidR="003D3EDE" w:rsidRPr="00680951" w:rsidRDefault="003D3EDE" w:rsidP="00680951">
            <w:pPr>
              <w:autoSpaceDE w:val="0"/>
              <w:autoSpaceDN w:val="0"/>
              <w:adjustRightInd w:val="0"/>
              <w:spacing w:line="276" w:lineRule="auto"/>
              <w:ind w:firstLine="360"/>
              <w:jc w:val="both"/>
            </w:pPr>
            <w:r w:rsidRPr="00680951">
              <w:t>Potrivit art. 133 alin.(1) lit. a) din Legea nr. 292/2011</w:t>
            </w:r>
            <w:r w:rsidR="00754E08" w:rsidRPr="00680951">
              <w:t xml:space="preserve"> </w:t>
            </w:r>
            <w:r w:rsidRPr="00680951">
              <w:t xml:space="preserve">- Legea </w:t>
            </w:r>
            <w:proofErr w:type="spellStart"/>
            <w:r w:rsidRPr="00680951">
              <w:t>asistenţei</w:t>
            </w:r>
            <w:proofErr w:type="spellEnd"/>
            <w:r w:rsidRPr="00680951">
              <w:t xml:space="preserve"> sociale cu modificările și completările ulterioare</w:t>
            </w:r>
            <w:r w:rsidR="00754E08" w:rsidRPr="00680951">
              <w:t>,</w:t>
            </w:r>
            <w:r w:rsidRPr="00680951">
              <w:t xml:space="preserve"> de la bugetul de stat se alocă fonduri pentru </w:t>
            </w:r>
            <w:proofErr w:type="spellStart"/>
            <w:r w:rsidRPr="00680951">
              <w:t>finanţarea</w:t>
            </w:r>
            <w:proofErr w:type="spellEnd"/>
            <w:r w:rsidRPr="00680951">
              <w:t xml:space="preserve"> programelor de interes </w:t>
            </w:r>
            <w:proofErr w:type="spellStart"/>
            <w:r w:rsidRPr="00680951">
              <w:t>naţional</w:t>
            </w:r>
            <w:proofErr w:type="spellEnd"/>
            <w:r w:rsidRPr="00680951">
              <w:t xml:space="preserve">, elaborate de Ministerul Muncii și </w:t>
            </w:r>
            <w:r w:rsidR="00125934">
              <w:t>Protecției</w:t>
            </w:r>
            <w:r w:rsidRPr="00680951">
              <w:t xml:space="preserve"> Sociale, precum </w:t>
            </w:r>
            <w:proofErr w:type="spellStart"/>
            <w:r w:rsidRPr="00680951">
              <w:t>şi</w:t>
            </w:r>
            <w:proofErr w:type="spellEnd"/>
            <w:r w:rsidRPr="00680951">
              <w:t xml:space="preserve"> de alte </w:t>
            </w:r>
            <w:proofErr w:type="spellStart"/>
            <w:r w:rsidRPr="00680951">
              <w:t>autorităţi</w:t>
            </w:r>
            <w:proofErr w:type="spellEnd"/>
            <w:r w:rsidRPr="00680951">
              <w:t xml:space="preserve"> ale </w:t>
            </w:r>
            <w:proofErr w:type="spellStart"/>
            <w:r w:rsidRPr="00680951">
              <w:t>administraţiei</w:t>
            </w:r>
            <w:proofErr w:type="spellEnd"/>
            <w:r w:rsidRPr="00680951">
              <w:t xml:space="preserve"> publice centrale cu </w:t>
            </w:r>
            <w:proofErr w:type="spellStart"/>
            <w:r w:rsidRPr="00680951">
              <w:t>atribuţii</w:t>
            </w:r>
            <w:proofErr w:type="spellEnd"/>
            <w:r w:rsidRPr="00680951">
              <w:t xml:space="preserve"> în domeniul serviciilor sociale </w:t>
            </w:r>
            <w:proofErr w:type="spellStart"/>
            <w:r w:rsidRPr="00680951">
              <w:t>şi</w:t>
            </w:r>
            <w:proofErr w:type="spellEnd"/>
            <w:r w:rsidRPr="00680951">
              <w:t xml:space="preserve"> aprobate prin hotărâre a Guvernului.</w:t>
            </w:r>
          </w:p>
          <w:p w:rsidR="0046781E" w:rsidRPr="00680951" w:rsidRDefault="0046781E" w:rsidP="00680951">
            <w:pPr>
              <w:autoSpaceDE w:val="0"/>
              <w:autoSpaceDN w:val="0"/>
              <w:adjustRightInd w:val="0"/>
              <w:spacing w:line="276" w:lineRule="auto"/>
              <w:ind w:firstLine="360"/>
              <w:jc w:val="both"/>
            </w:pPr>
            <w:r w:rsidRPr="00680951">
              <w:rPr>
                <w:iCs/>
              </w:rPr>
              <w:t xml:space="preserve">În baza prevederilor art. 96 din Legea nr. 448/2006 privind </w:t>
            </w:r>
            <w:proofErr w:type="spellStart"/>
            <w:r w:rsidRPr="00680951">
              <w:rPr>
                <w:iCs/>
              </w:rPr>
              <w:t>protecţia</w:t>
            </w:r>
            <w:proofErr w:type="spellEnd"/>
            <w:r w:rsidRPr="00680951">
              <w:rPr>
                <w:iCs/>
              </w:rPr>
              <w:t xml:space="preserve"> </w:t>
            </w:r>
            <w:proofErr w:type="spellStart"/>
            <w:r w:rsidRPr="00680951">
              <w:rPr>
                <w:iCs/>
              </w:rPr>
              <w:t>şi</w:t>
            </w:r>
            <w:proofErr w:type="spellEnd"/>
            <w:r w:rsidRPr="00680951">
              <w:rPr>
                <w:iCs/>
              </w:rPr>
              <w:t xml:space="preserve"> promovarea drepturilor persoanelor cu handicap, republicată,</w:t>
            </w:r>
            <w:r w:rsidRPr="00680951">
              <w:t xml:space="preserve"> </w:t>
            </w:r>
            <w:r w:rsidR="00125934">
              <w:t xml:space="preserve">Autoritatea </w:t>
            </w:r>
            <w:proofErr w:type="spellStart"/>
            <w:r w:rsidR="00125934">
              <w:t>Naţională</w:t>
            </w:r>
            <w:proofErr w:type="spellEnd"/>
            <w:r w:rsidR="00125934" w:rsidRPr="00125934">
              <w:t xml:space="preserve"> pentru Drepturile Persoanelor cu </w:t>
            </w:r>
            <w:proofErr w:type="spellStart"/>
            <w:r w:rsidR="00125934" w:rsidRPr="00125934">
              <w:t>Dizabilităţi</w:t>
            </w:r>
            <w:proofErr w:type="spellEnd"/>
            <w:r w:rsidR="00125934" w:rsidRPr="00125934">
              <w:t xml:space="preserve">, Copii </w:t>
            </w:r>
            <w:proofErr w:type="spellStart"/>
            <w:r w:rsidR="00125934" w:rsidRPr="00125934">
              <w:t>şi</w:t>
            </w:r>
            <w:proofErr w:type="spellEnd"/>
            <w:r w:rsidR="00125934" w:rsidRPr="00125934">
              <w:t xml:space="preserve"> </w:t>
            </w:r>
            <w:proofErr w:type="spellStart"/>
            <w:r w:rsidR="00125934" w:rsidRPr="00125934">
              <w:t>Adopţii</w:t>
            </w:r>
            <w:proofErr w:type="spellEnd"/>
            <w:r w:rsidR="00ED6D21" w:rsidRPr="00680951">
              <w:t>, denumită în continuare AN</w:t>
            </w:r>
            <w:r w:rsidR="00125934">
              <w:t>D</w:t>
            </w:r>
            <w:r w:rsidR="00ED6D21" w:rsidRPr="00680951">
              <w:t>PD</w:t>
            </w:r>
            <w:r w:rsidR="00125934">
              <w:t>CA</w:t>
            </w:r>
            <w:r w:rsidR="00ED6D21" w:rsidRPr="00680951">
              <w:t xml:space="preserve">, </w:t>
            </w:r>
            <w:r w:rsidRPr="00680951">
              <w:t xml:space="preserve">poate </w:t>
            </w:r>
            <w:proofErr w:type="spellStart"/>
            <w:r w:rsidRPr="00680951">
              <w:t>finanţa</w:t>
            </w:r>
            <w:proofErr w:type="spellEnd"/>
            <w:r w:rsidRPr="00680951">
              <w:t xml:space="preserve"> sau, după caz, </w:t>
            </w:r>
            <w:proofErr w:type="spellStart"/>
            <w:r w:rsidRPr="00680951">
              <w:t>cofinanţa</w:t>
            </w:r>
            <w:proofErr w:type="spellEnd"/>
            <w:r w:rsidRPr="00680951">
              <w:t xml:space="preserve"> programe de interes </w:t>
            </w:r>
            <w:proofErr w:type="spellStart"/>
            <w:r w:rsidRPr="00680951">
              <w:t>naţional</w:t>
            </w:r>
            <w:proofErr w:type="spellEnd"/>
            <w:r w:rsidRPr="00680951">
              <w:t xml:space="preserve"> care au ca scop</w:t>
            </w:r>
            <w:bookmarkStart w:id="0" w:name="tree#685"/>
            <w:r w:rsidRPr="00680951">
              <w:t xml:space="preserve"> integrarea, incluziunea socială </w:t>
            </w:r>
            <w:proofErr w:type="spellStart"/>
            <w:r w:rsidRPr="00680951">
              <w:t>şi</w:t>
            </w:r>
            <w:proofErr w:type="spellEnd"/>
            <w:r w:rsidRPr="00680951">
              <w:t xml:space="preserve"> profesională a persoanelor cu handicap, precum </w:t>
            </w:r>
            <w:proofErr w:type="spellStart"/>
            <w:r w:rsidRPr="00680951">
              <w:t>şi</w:t>
            </w:r>
            <w:proofErr w:type="spellEnd"/>
            <w:r w:rsidRPr="00680951">
              <w:t xml:space="preserve"> </w:t>
            </w:r>
            <w:proofErr w:type="spellStart"/>
            <w:r w:rsidRPr="00680951">
              <w:t>creşterea</w:t>
            </w:r>
            <w:proofErr w:type="spellEnd"/>
            <w:r w:rsidRPr="00680951">
              <w:t xml:space="preserve"> </w:t>
            </w:r>
            <w:proofErr w:type="spellStart"/>
            <w:r w:rsidRPr="00680951">
              <w:t>calităţii</w:t>
            </w:r>
            <w:proofErr w:type="spellEnd"/>
            <w:r w:rsidRPr="00680951">
              <w:t xml:space="preserve"> </w:t>
            </w:r>
            <w:proofErr w:type="spellStart"/>
            <w:r w:rsidRPr="00680951">
              <w:t>vieţii</w:t>
            </w:r>
            <w:proofErr w:type="spellEnd"/>
            <w:r w:rsidRPr="00680951">
              <w:t xml:space="preserve"> acestora</w:t>
            </w:r>
            <w:r w:rsidR="00F53AF8" w:rsidRPr="00680951">
              <w:t xml:space="preserve">, ale căror obiective generale sunt stabilite </w:t>
            </w:r>
            <w:r w:rsidR="00ED6D21" w:rsidRPr="00680951">
              <w:t>prin actul normativ invocat</w:t>
            </w:r>
            <w:r w:rsidRPr="00680951">
              <w:t>.</w:t>
            </w:r>
          </w:p>
          <w:bookmarkEnd w:id="0"/>
          <w:p w:rsidR="00115E1E" w:rsidRPr="00680951" w:rsidRDefault="004C59D2" w:rsidP="00680951">
            <w:pPr>
              <w:autoSpaceDE w:val="0"/>
              <w:autoSpaceDN w:val="0"/>
              <w:adjustRightInd w:val="0"/>
              <w:spacing w:line="276" w:lineRule="auto"/>
              <w:ind w:firstLine="360"/>
              <w:jc w:val="both"/>
            </w:pPr>
            <w:proofErr w:type="spellStart"/>
            <w:r w:rsidRPr="00680951">
              <w:t>Convenţia</w:t>
            </w:r>
            <w:proofErr w:type="spellEnd"/>
            <w:r w:rsidRPr="00680951">
              <w:t xml:space="preserve"> </w:t>
            </w:r>
            <w:r w:rsidR="00ED6D21" w:rsidRPr="00680951">
              <w:t>privind</w:t>
            </w:r>
            <w:r w:rsidRPr="00680951">
              <w:t xml:space="preserve"> </w:t>
            </w:r>
            <w:r w:rsidR="00ED6D21" w:rsidRPr="00680951">
              <w:t>d</w:t>
            </w:r>
            <w:r w:rsidRPr="00680951">
              <w:t xml:space="preserve">repturile </w:t>
            </w:r>
            <w:r w:rsidR="00ED6D21" w:rsidRPr="00680951">
              <w:t>p</w:t>
            </w:r>
            <w:r w:rsidRPr="00680951">
              <w:t xml:space="preserve">ersoanelor cu </w:t>
            </w:r>
            <w:proofErr w:type="spellStart"/>
            <w:r w:rsidR="00ED6D21" w:rsidRPr="00680951">
              <w:t>d</w:t>
            </w:r>
            <w:r w:rsidRPr="00680951">
              <w:t>izabilităţi</w:t>
            </w:r>
            <w:proofErr w:type="spellEnd"/>
            <w:r w:rsidR="00ED6D21" w:rsidRPr="00680951">
              <w:t xml:space="preserve">, </w:t>
            </w:r>
            <w:r w:rsidR="00F90CB3" w:rsidRPr="00680951">
              <w:t>ratificată</w:t>
            </w:r>
            <w:r w:rsidR="00125934">
              <w:t xml:space="preserve"> de</w:t>
            </w:r>
            <w:r w:rsidRPr="00680951">
              <w:t xml:space="preserve"> Rom</w:t>
            </w:r>
            <w:r w:rsidR="001D6EBC" w:rsidRPr="00680951">
              <w:t>â</w:t>
            </w:r>
            <w:r w:rsidRPr="00680951">
              <w:t>ni</w:t>
            </w:r>
            <w:r w:rsidR="001D6EBC" w:rsidRPr="00680951">
              <w:t>a</w:t>
            </w:r>
            <w:r w:rsidRPr="00680951">
              <w:t xml:space="preserve"> încă din anul 2010, </w:t>
            </w:r>
            <w:proofErr w:type="spellStart"/>
            <w:r w:rsidRPr="00680951">
              <w:t>recunoaşte</w:t>
            </w:r>
            <w:proofErr w:type="spellEnd"/>
            <w:r w:rsidRPr="00680951">
              <w:t xml:space="preserve"> dreptul </w:t>
            </w:r>
            <w:r w:rsidR="00C34E7B" w:rsidRPr="00680951">
              <w:t xml:space="preserve">egal al tuturor </w:t>
            </w:r>
            <w:r w:rsidRPr="00680951">
              <w:t xml:space="preserve">persoanelor cu </w:t>
            </w:r>
            <w:proofErr w:type="spellStart"/>
            <w:r w:rsidRPr="00680951">
              <w:t>dizabilităţi</w:t>
            </w:r>
            <w:proofErr w:type="spellEnd"/>
            <w:r w:rsidRPr="00680951">
              <w:t xml:space="preserve"> la o </w:t>
            </w:r>
            <w:proofErr w:type="spellStart"/>
            <w:r w:rsidRPr="00680951">
              <w:t>viaţă</w:t>
            </w:r>
            <w:proofErr w:type="spellEnd"/>
            <w:r w:rsidRPr="00680951">
              <w:t xml:space="preserve"> independentă în comunitate</w:t>
            </w:r>
            <w:r w:rsidR="00F90CB3" w:rsidRPr="00680951">
              <w:t>,</w:t>
            </w:r>
            <w:r w:rsidRPr="00680951">
              <w:t xml:space="preserve"> </w:t>
            </w:r>
            <w:r w:rsidR="00086E19" w:rsidRPr="00680951">
              <w:t xml:space="preserve">cu </w:t>
            </w:r>
            <w:proofErr w:type="spellStart"/>
            <w:r w:rsidR="00086E19" w:rsidRPr="00680951">
              <w:t>şanse</w:t>
            </w:r>
            <w:proofErr w:type="spellEnd"/>
            <w:r w:rsidR="00086E19" w:rsidRPr="00680951">
              <w:t xml:space="preserve"> egale cu ale </w:t>
            </w:r>
            <w:proofErr w:type="spellStart"/>
            <w:r w:rsidR="00086E19" w:rsidRPr="00680951">
              <w:t>celorlalţi</w:t>
            </w:r>
            <w:proofErr w:type="spellEnd"/>
            <w:r w:rsidR="00086E19" w:rsidRPr="00680951">
              <w:t xml:space="preserve"> </w:t>
            </w:r>
            <w:proofErr w:type="spellStart"/>
            <w:r w:rsidRPr="00680951">
              <w:t>şi</w:t>
            </w:r>
            <w:proofErr w:type="spellEnd"/>
            <w:r w:rsidRPr="00680951">
              <w:t xml:space="preserve"> obligă statele </w:t>
            </w:r>
            <w:proofErr w:type="spellStart"/>
            <w:r w:rsidRPr="00680951">
              <w:t>părti</w:t>
            </w:r>
            <w:proofErr w:type="spellEnd"/>
            <w:r w:rsidRPr="00680951">
              <w:t xml:space="preserve"> să ia măsurile </w:t>
            </w:r>
            <w:r w:rsidR="00086E19" w:rsidRPr="00680951">
              <w:t xml:space="preserve">eficiente </w:t>
            </w:r>
            <w:proofErr w:type="spellStart"/>
            <w:r w:rsidR="00086E19" w:rsidRPr="00680951">
              <w:t>şi</w:t>
            </w:r>
            <w:proofErr w:type="spellEnd"/>
            <w:r w:rsidR="00086E19" w:rsidRPr="00680951">
              <w:t xml:space="preserve"> adecvate pentru a se asigura că persoanele cu </w:t>
            </w:r>
            <w:proofErr w:type="spellStart"/>
            <w:r w:rsidR="00086E19" w:rsidRPr="00680951">
              <w:t>dizabilităţi</w:t>
            </w:r>
            <w:proofErr w:type="spellEnd"/>
            <w:r w:rsidR="00086E19" w:rsidRPr="00680951">
              <w:t xml:space="preserve"> se bucură pe deplin de acest drept </w:t>
            </w:r>
            <w:proofErr w:type="spellStart"/>
            <w:r w:rsidR="00086E19" w:rsidRPr="00680951">
              <w:t>şi</w:t>
            </w:r>
            <w:proofErr w:type="spellEnd"/>
            <w:r w:rsidR="00086E19" w:rsidRPr="00680951">
              <w:t xml:space="preserve"> de deplina integrare în comunitate </w:t>
            </w:r>
            <w:proofErr w:type="spellStart"/>
            <w:r w:rsidR="00086E19" w:rsidRPr="00680951">
              <w:t>şi</w:t>
            </w:r>
            <w:proofErr w:type="spellEnd"/>
            <w:r w:rsidR="00086E19" w:rsidRPr="00680951">
              <w:t xml:space="preserve"> participare la </w:t>
            </w:r>
            <w:proofErr w:type="spellStart"/>
            <w:r w:rsidR="00086E19" w:rsidRPr="00680951">
              <w:t>viaţa</w:t>
            </w:r>
            <w:proofErr w:type="spellEnd"/>
            <w:r w:rsidR="00086E19" w:rsidRPr="00680951">
              <w:t xml:space="preserve"> acesteia</w:t>
            </w:r>
            <w:r w:rsidR="00115E1E" w:rsidRPr="00680951">
              <w:t>.</w:t>
            </w:r>
          </w:p>
          <w:p w:rsidR="0055110A" w:rsidRPr="00680951" w:rsidRDefault="004C59D2" w:rsidP="007841A1">
            <w:pPr>
              <w:autoSpaceDE w:val="0"/>
              <w:autoSpaceDN w:val="0"/>
              <w:adjustRightInd w:val="0"/>
              <w:spacing w:line="276" w:lineRule="auto"/>
              <w:ind w:firstLine="360"/>
              <w:jc w:val="both"/>
            </w:pPr>
            <w:r w:rsidRPr="00680951">
              <w:t xml:space="preserve">În ciuda acestor </w:t>
            </w:r>
            <w:proofErr w:type="spellStart"/>
            <w:r w:rsidRPr="00680951">
              <w:t>obligativităţi</w:t>
            </w:r>
            <w:proofErr w:type="spellEnd"/>
            <w:r w:rsidRPr="00680951">
              <w:t xml:space="preserve"> asumate, Rom</w:t>
            </w:r>
            <w:r w:rsidR="00ED6D21" w:rsidRPr="00680951">
              <w:t>â</w:t>
            </w:r>
            <w:r w:rsidRPr="00680951">
              <w:t xml:space="preserve">nia este încă tributară unui sistem </w:t>
            </w:r>
            <w:proofErr w:type="spellStart"/>
            <w:r w:rsidRPr="00680951">
              <w:t>instituţionalizat</w:t>
            </w:r>
            <w:proofErr w:type="spellEnd"/>
            <w:r w:rsidRPr="00680951">
              <w:t xml:space="preserve"> de </w:t>
            </w:r>
            <w:proofErr w:type="spellStart"/>
            <w:r w:rsidRPr="00680951">
              <w:t>protecţie</w:t>
            </w:r>
            <w:proofErr w:type="spellEnd"/>
            <w:r w:rsidRPr="00680951">
              <w:t xml:space="preserve"> socială, cu </w:t>
            </w:r>
            <w:r w:rsidRPr="004E4C95">
              <w:t xml:space="preserve">aproximativ </w:t>
            </w:r>
            <w:r w:rsidR="00EC52AF" w:rsidRPr="004E4C95">
              <w:t>2,</w:t>
            </w:r>
            <w:r w:rsidR="00E5498D" w:rsidRPr="004E4C95">
              <w:t>3</w:t>
            </w:r>
            <w:r w:rsidRPr="004E4C95">
              <w:t xml:space="preserve">% </w:t>
            </w:r>
            <w:r w:rsidRPr="00680951">
              <w:t xml:space="preserve">din totalul persoanelor cu </w:t>
            </w:r>
            <w:proofErr w:type="spellStart"/>
            <w:r w:rsidRPr="00680951">
              <w:t>diz</w:t>
            </w:r>
            <w:r w:rsidR="00EC52AF" w:rsidRPr="00680951">
              <w:t>abilităţi</w:t>
            </w:r>
            <w:proofErr w:type="spellEnd"/>
            <w:r w:rsidR="00EC52AF" w:rsidRPr="00680951">
              <w:t xml:space="preserve"> de la nivel </w:t>
            </w:r>
            <w:proofErr w:type="spellStart"/>
            <w:r w:rsidR="00EC52AF" w:rsidRPr="00680951">
              <w:t>national</w:t>
            </w:r>
            <w:proofErr w:type="spellEnd"/>
            <w:r w:rsidR="00EC52AF" w:rsidRPr="00680951">
              <w:t xml:space="preserve"> aflat </w:t>
            </w:r>
            <w:r w:rsidRPr="00680951">
              <w:t xml:space="preserve">într-o </w:t>
            </w:r>
            <w:proofErr w:type="spellStart"/>
            <w:r w:rsidRPr="00680951">
              <w:t>instituţie</w:t>
            </w:r>
            <w:proofErr w:type="spellEnd"/>
            <w:r w:rsidRPr="00680951">
              <w:t xml:space="preserve"> publică </w:t>
            </w:r>
            <w:proofErr w:type="spellStart"/>
            <w:r w:rsidRPr="00680951">
              <w:t>rezidenţială</w:t>
            </w:r>
            <w:proofErr w:type="spellEnd"/>
            <w:r w:rsidRPr="00680951">
              <w:t xml:space="preserve"> de </w:t>
            </w:r>
            <w:proofErr w:type="spellStart"/>
            <w:r w:rsidRPr="00680951">
              <w:t>asistenţă</w:t>
            </w:r>
            <w:proofErr w:type="spellEnd"/>
            <w:r w:rsidRPr="00680951">
              <w:t xml:space="preserve"> socială pentru persoanele </w:t>
            </w:r>
            <w:r w:rsidR="00E5498D" w:rsidRPr="00680951">
              <w:t xml:space="preserve">adulte </w:t>
            </w:r>
            <w:r w:rsidRPr="00680951">
              <w:t xml:space="preserve">cu </w:t>
            </w:r>
            <w:proofErr w:type="spellStart"/>
            <w:r w:rsidRPr="00680951">
              <w:t>dizabilităţi</w:t>
            </w:r>
            <w:proofErr w:type="spellEnd"/>
            <w:r w:rsidRPr="00680951">
              <w:t xml:space="preserve">. În </w:t>
            </w:r>
            <w:proofErr w:type="spellStart"/>
            <w:r w:rsidRPr="00680951">
              <w:t>privinţa</w:t>
            </w:r>
            <w:proofErr w:type="spellEnd"/>
            <w:r w:rsidRPr="00680951">
              <w:t xml:space="preserve"> numărului de centre destinate persoanelor </w:t>
            </w:r>
            <w:r w:rsidR="00E5498D" w:rsidRPr="00680951">
              <w:t xml:space="preserve">adulte </w:t>
            </w:r>
            <w:r w:rsidRPr="00680951">
              <w:t xml:space="preserve">cu </w:t>
            </w:r>
            <w:proofErr w:type="spellStart"/>
            <w:r w:rsidRPr="00680951">
              <w:t>dizabilităţi</w:t>
            </w:r>
            <w:proofErr w:type="spellEnd"/>
            <w:r w:rsidRPr="00680951">
              <w:t xml:space="preserve"> </w:t>
            </w:r>
            <w:proofErr w:type="spellStart"/>
            <w:r w:rsidRPr="00680951">
              <w:t>instituţionalizate</w:t>
            </w:r>
            <w:proofErr w:type="spellEnd"/>
            <w:r w:rsidRPr="00680951">
              <w:t xml:space="preserve">, </w:t>
            </w:r>
            <w:r w:rsidRPr="00A20D71">
              <w:t xml:space="preserve">acestea sunt de </w:t>
            </w:r>
            <w:r w:rsidR="00E5498D" w:rsidRPr="00837D1A">
              <w:t>2</w:t>
            </w:r>
            <w:r w:rsidR="00837D1A" w:rsidRPr="00837D1A">
              <w:t>77</w:t>
            </w:r>
            <w:r w:rsidRPr="00837D1A">
              <w:t xml:space="preserve"> d</w:t>
            </w:r>
            <w:r w:rsidRPr="00680951">
              <w:t xml:space="preserve">e centre </w:t>
            </w:r>
            <w:r w:rsidR="00E5498D" w:rsidRPr="00680951">
              <w:t>rezidențiale, altele decât locuințe protejate</w:t>
            </w:r>
            <w:r w:rsidR="00837D1A">
              <w:t xml:space="preserve">, </w:t>
            </w:r>
            <w:r w:rsidR="00837D1A">
              <w:rPr>
                <w:shd w:val="clear" w:color="auto" w:fill="FFFFFF"/>
              </w:rPr>
              <w:t xml:space="preserve">centre respiro și </w:t>
            </w:r>
            <w:r w:rsidR="00837D1A" w:rsidRPr="00680951">
              <w:rPr>
                <w:shd w:val="clear" w:color="auto" w:fill="FFFFFF"/>
              </w:rPr>
              <w:t>centre de criză</w:t>
            </w:r>
            <w:r w:rsidRPr="00680951">
              <w:t>.</w:t>
            </w:r>
          </w:p>
          <w:p w:rsidR="006F1144" w:rsidRDefault="006F1144" w:rsidP="007841A1">
            <w:pPr>
              <w:spacing w:before="120" w:line="276" w:lineRule="auto"/>
              <w:ind w:left="5"/>
              <w:jc w:val="both"/>
              <w:rPr>
                <w:i/>
                <w:iCs/>
              </w:rPr>
            </w:pPr>
            <w:r>
              <w:t xml:space="preserve">În </w:t>
            </w:r>
            <w:r>
              <w:rPr>
                <w:rFonts w:cs="Tahoma"/>
              </w:rPr>
              <w:t xml:space="preserve">Strategia </w:t>
            </w:r>
            <w:proofErr w:type="spellStart"/>
            <w:r>
              <w:rPr>
                <w:rFonts w:cs="Tahoma"/>
              </w:rPr>
              <w:t>naţională</w:t>
            </w:r>
            <w:proofErr w:type="spellEnd"/>
            <w:r>
              <w:rPr>
                <w:rFonts w:cs="Tahoma"/>
              </w:rPr>
              <w:t xml:space="preserve"> "O societate fără bariere pentru persoanele cu </w:t>
            </w:r>
            <w:proofErr w:type="spellStart"/>
            <w:r>
              <w:rPr>
                <w:rFonts w:cs="Tahoma"/>
              </w:rPr>
              <w:t>dizabilităţi</w:t>
            </w:r>
            <w:proofErr w:type="spellEnd"/>
            <w:r>
              <w:rPr>
                <w:rFonts w:cs="Tahoma"/>
              </w:rPr>
              <w:t>" 2016-2020, aprobată prin HG nr. 655/2016, la d</w:t>
            </w:r>
            <w:r>
              <w:t xml:space="preserve">irecția de acțiune </w:t>
            </w:r>
            <w:r>
              <w:rPr>
                <w:b/>
                <w:bCs/>
              </w:rPr>
              <w:t>Participare</w:t>
            </w:r>
            <w:r>
              <w:rPr>
                <w:i/>
                <w:iCs/>
              </w:rPr>
              <w:t>,</w:t>
            </w:r>
            <w:r>
              <w:t xml:space="preserve"> </w:t>
            </w:r>
            <w:r>
              <w:rPr>
                <w:b/>
                <w:bCs/>
              </w:rPr>
              <w:t xml:space="preserve">este cuprins Obiectivul strategic 8 - </w:t>
            </w:r>
            <w:r>
              <w:rPr>
                <w:i/>
                <w:iCs/>
              </w:rPr>
              <w:t xml:space="preserve">Dezinstituționalizarea și prevenirea instituționalizării persoanelor cu dizabilități, concomitent cu dezvoltarea serviciilor alternative de sprijin pentru viață independentă </w:t>
            </w:r>
            <w:proofErr w:type="spellStart"/>
            <w:r>
              <w:rPr>
                <w:i/>
                <w:iCs/>
              </w:rPr>
              <w:t>şi</w:t>
            </w:r>
            <w:proofErr w:type="spellEnd"/>
            <w:r>
              <w:rPr>
                <w:i/>
                <w:iCs/>
              </w:rPr>
              <w:t xml:space="preserve"> integrare în comunitate.</w:t>
            </w:r>
          </w:p>
          <w:p w:rsidR="007841A1" w:rsidRDefault="007841A1" w:rsidP="007841A1">
            <w:pPr>
              <w:spacing w:before="120" w:line="276" w:lineRule="auto"/>
              <w:ind w:left="5"/>
              <w:jc w:val="both"/>
              <w:rPr>
                <w:i/>
                <w:iCs/>
              </w:rPr>
            </w:pPr>
          </w:p>
          <w:p w:rsidR="007841A1" w:rsidRPr="003607D8" w:rsidRDefault="007841A1" w:rsidP="003607D8">
            <w:pPr>
              <w:spacing w:before="120"/>
              <w:ind w:left="5"/>
              <w:jc w:val="both"/>
              <w:rPr>
                <w:i/>
                <w:iCs/>
              </w:rPr>
            </w:pPr>
          </w:p>
          <w:p w:rsidR="006F1144" w:rsidRDefault="006F1144" w:rsidP="007841A1">
            <w:pPr>
              <w:ind w:left="5"/>
              <w:jc w:val="both"/>
              <w:rPr>
                <w:bCs/>
              </w:rPr>
            </w:pPr>
            <w:r>
              <w:t xml:space="preserve">Astfel, a fost aprobat </w:t>
            </w:r>
            <w:r>
              <w:rPr>
                <w:bCs/>
              </w:rPr>
              <w:t>Programul</w:t>
            </w:r>
            <w:r w:rsidRPr="00E74DCD">
              <w:rPr>
                <w:bCs/>
              </w:rPr>
              <w:t xml:space="preserve"> de interes </w:t>
            </w:r>
            <w:proofErr w:type="spellStart"/>
            <w:r w:rsidRPr="00E74DCD">
              <w:rPr>
                <w:bCs/>
              </w:rPr>
              <w:t>naţional</w:t>
            </w:r>
            <w:proofErr w:type="spellEnd"/>
            <w:r w:rsidRPr="00E74DCD">
              <w:rPr>
                <w:bCs/>
              </w:rPr>
              <w:t xml:space="preserve"> "</w:t>
            </w:r>
            <w:proofErr w:type="spellStart"/>
            <w:r w:rsidRPr="00147D46">
              <w:rPr>
                <w:bCs/>
                <w:i/>
              </w:rPr>
              <w:t>Înfiinţarea</w:t>
            </w:r>
            <w:proofErr w:type="spellEnd"/>
            <w:r w:rsidRPr="00147D46">
              <w:rPr>
                <w:bCs/>
                <w:i/>
              </w:rPr>
              <w:t xml:space="preserve"> de servicii sociale de tip centre de zi, centre respiro/centre de criză </w:t>
            </w:r>
            <w:proofErr w:type="spellStart"/>
            <w:r w:rsidRPr="00147D46">
              <w:rPr>
                <w:bCs/>
                <w:i/>
              </w:rPr>
              <w:t>şi</w:t>
            </w:r>
            <w:proofErr w:type="spellEnd"/>
            <w:r w:rsidRPr="00147D46">
              <w:rPr>
                <w:bCs/>
                <w:i/>
              </w:rPr>
              <w:t xml:space="preserve"> </w:t>
            </w:r>
            <w:proofErr w:type="spellStart"/>
            <w:r w:rsidRPr="00147D46">
              <w:rPr>
                <w:bCs/>
                <w:i/>
              </w:rPr>
              <w:t>locuinţe</w:t>
            </w:r>
            <w:proofErr w:type="spellEnd"/>
            <w:r w:rsidRPr="00147D46">
              <w:rPr>
                <w:bCs/>
                <w:i/>
              </w:rPr>
              <w:t xml:space="preserve"> protejate în vederea </w:t>
            </w:r>
            <w:proofErr w:type="spellStart"/>
            <w:r w:rsidRPr="00147D46">
              <w:rPr>
                <w:bCs/>
                <w:i/>
              </w:rPr>
              <w:t>dezinstituţionalizării</w:t>
            </w:r>
            <w:proofErr w:type="spellEnd"/>
            <w:r w:rsidRPr="00147D46">
              <w:rPr>
                <w:bCs/>
                <w:i/>
              </w:rPr>
              <w:t xml:space="preserve"> persoanelor cu </w:t>
            </w:r>
            <w:proofErr w:type="spellStart"/>
            <w:r w:rsidRPr="00147D46">
              <w:rPr>
                <w:bCs/>
                <w:i/>
              </w:rPr>
              <w:t>dizabilităţi</w:t>
            </w:r>
            <w:proofErr w:type="spellEnd"/>
            <w:r w:rsidRPr="00147D46">
              <w:rPr>
                <w:bCs/>
                <w:i/>
              </w:rPr>
              <w:t xml:space="preserve"> aflate în </w:t>
            </w:r>
            <w:proofErr w:type="spellStart"/>
            <w:r w:rsidRPr="00147D46">
              <w:rPr>
                <w:bCs/>
                <w:i/>
              </w:rPr>
              <w:t>instituţii</w:t>
            </w:r>
            <w:proofErr w:type="spellEnd"/>
            <w:r w:rsidRPr="00147D46">
              <w:rPr>
                <w:bCs/>
                <w:i/>
              </w:rPr>
              <w:t xml:space="preserve"> de tip vechi </w:t>
            </w:r>
            <w:proofErr w:type="spellStart"/>
            <w:r w:rsidRPr="00147D46">
              <w:rPr>
                <w:bCs/>
                <w:i/>
              </w:rPr>
              <w:t>şi</w:t>
            </w:r>
            <w:proofErr w:type="spellEnd"/>
            <w:r w:rsidRPr="00147D46">
              <w:rPr>
                <w:bCs/>
                <w:i/>
              </w:rPr>
              <w:t xml:space="preserve"> pentru prevenirea </w:t>
            </w:r>
            <w:proofErr w:type="spellStart"/>
            <w:r w:rsidRPr="00147D46">
              <w:rPr>
                <w:bCs/>
                <w:i/>
              </w:rPr>
              <w:t>instituţionalizării</w:t>
            </w:r>
            <w:proofErr w:type="spellEnd"/>
            <w:r w:rsidRPr="00147D46">
              <w:rPr>
                <w:bCs/>
                <w:i/>
              </w:rPr>
              <w:t xml:space="preserve"> persoanelor cu </w:t>
            </w:r>
            <w:proofErr w:type="spellStart"/>
            <w:r w:rsidRPr="00147D46">
              <w:rPr>
                <w:bCs/>
                <w:i/>
              </w:rPr>
              <w:t>dizabilităţi</w:t>
            </w:r>
            <w:proofErr w:type="spellEnd"/>
            <w:r w:rsidRPr="00147D46">
              <w:rPr>
                <w:bCs/>
                <w:i/>
              </w:rPr>
              <w:t xml:space="preserve"> din comunitate</w:t>
            </w:r>
            <w:r w:rsidRPr="00E74DCD">
              <w:rPr>
                <w:bCs/>
              </w:rPr>
              <w:t>"</w:t>
            </w:r>
            <w:r>
              <w:rPr>
                <w:bCs/>
              </w:rPr>
              <w:t xml:space="preserve"> (PIN 1) prin </w:t>
            </w:r>
            <w:r w:rsidRPr="00E74DCD">
              <w:rPr>
                <w:bCs/>
              </w:rPr>
              <w:t>HG nr. 798/2016</w:t>
            </w:r>
            <w:r>
              <w:rPr>
                <w:bCs/>
              </w:rPr>
              <w:t>, modificată prin HG nr. 192</w:t>
            </w:r>
            <w:r w:rsidRPr="00E74DCD">
              <w:rPr>
                <w:bCs/>
              </w:rPr>
              <w:t xml:space="preserve">/2018 </w:t>
            </w:r>
            <w:r>
              <w:rPr>
                <w:bCs/>
              </w:rPr>
              <w:t xml:space="preserve">și HG nr. 317/2019. De asemenea, </w:t>
            </w:r>
            <w:r>
              <w:t>a fost aprobat P</w:t>
            </w:r>
            <w:r>
              <w:rPr>
                <w:bCs/>
              </w:rPr>
              <w:t>rogramul</w:t>
            </w:r>
            <w:r w:rsidRPr="00E74DCD">
              <w:rPr>
                <w:bCs/>
              </w:rPr>
              <w:t xml:space="preserve"> de interes </w:t>
            </w:r>
            <w:proofErr w:type="spellStart"/>
            <w:r w:rsidRPr="00E74DCD">
              <w:rPr>
                <w:bCs/>
              </w:rPr>
              <w:t>naţional</w:t>
            </w:r>
            <w:proofErr w:type="spellEnd"/>
            <w:r>
              <w:rPr>
                <w:bCs/>
              </w:rPr>
              <w:t xml:space="preserve"> </w:t>
            </w:r>
            <w:r w:rsidRPr="00E74DCD">
              <w:rPr>
                <w:bCs/>
              </w:rPr>
              <w:t>"</w:t>
            </w:r>
            <w:proofErr w:type="spellStart"/>
            <w:r w:rsidRPr="00147D46">
              <w:rPr>
                <w:bCs/>
                <w:i/>
              </w:rPr>
              <w:t>Înfiinţarea</w:t>
            </w:r>
            <w:proofErr w:type="spellEnd"/>
            <w:r w:rsidRPr="00147D46">
              <w:rPr>
                <w:bCs/>
                <w:i/>
              </w:rPr>
              <w:t xml:space="preserve"> de servicii sociale în vederea asigurării </w:t>
            </w:r>
            <w:proofErr w:type="spellStart"/>
            <w:r w:rsidRPr="00147D46">
              <w:rPr>
                <w:bCs/>
                <w:i/>
              </w:rPr>
              <w:t>tranziţiei</w:t>
            </w:r>
            <w:proofErr w:type="spellEnd"/>
            <w:r w:rsidRPr="00147D46">
              <w:rPr>
                <w:bCs/>
                <w:i/>
              </w:rPr>
              <w:t xml:space="preserve"> tinerilor cu </w:t>
            </w:r>
            <w:proofErr w:type="spellStart"/>
            <w:r w:rsidRPr="00147D46">
              <w:rPr>
                <w:bCs/>
                <w:i/>
              </w:rPr>
              <w:t>dizabilităţi</w:t>
            </w:r>
            <w:proofErr w:type="spellEnd"/>
            <w:r w:rsidRPr="00147D46">
              <w:rPr>
                <w:bCs/>
                <w:i/>
              </w:rPr>
              <w:t xml:space="preserve"> de la sistemul de </w:t>
            </w:r>
            <w:proofErr w:type="spellStart"/>
            <w:r w:rsidRPr="00147D46">
              <w:rPr>
                <w:bCs/>
                <w:i/>
              </w:rPr>
              <w:t>protecţie</w:t>
            </w:r>
            <w:proofErr w:type="spellEnd"/>
            <w:r w:rsidRPr="00147D46">
              <w:rPr>
                <w:bCs/>
                <w:i/>
              </w:rPr>
              <w:t xml:space="preserve"> specială a copilului către sistemul de </w:t>
            </w:r>
            <w:proofErr w:type="spellStart"/>
            <w:r w:rsidRPr="00147D46">
              <w:rPr>
                <w:bCs/>
                <w:i/>
              </w:rPr>
              <w:t>protecţie</w:t>
            </w:r>
            <w:proofErr w:type="spellEnd"/>
            <w:r w:rsidRPr="00147D46">
              <w:rPr>
                <w:bCs/>
                <w:i/>
              </w:rPr>
              <w:t xml:space="preserve"> a persoanelor adulte cu </w:t>
            </w:r>
            <w:proofErr w:type="spellStart"/>
            <w:r w:rsidRPr="00147D46">
              <w:rPr>
                <w:bCs/>
                <w:i/>
              </w:rPr>
              <w:t>dizabilităţi</w:t>
            </w:r>
            <w:proofErr w:type="spellEnd"/>
            <w:r w:rsidRPr="00E74DCD">
              <w:rPr>
                <w:bCs/>
              </w:rPr>
              <w:t>"</w:t>
            </w:r>
            <w:r>
              <w:rPr>
                <w:bCs/>
              </w:rPr>
              <w:t>(PIN 2)</w:t>
            </w:r>
            <w:r w:rsidR="007841A1">
              <w:rPr>
                <w:bCs/>
              </w:rPr>
              <w:t xml:space="preserve"> </w:t>
            </w:r>
            <w:r>
              <w:rPr>
                <w:bCs/>
              </w:rPr>
              <w:t>prin</w:t>
            </w:r>
            <w:r w:rsidRPr="00E74DCD">
              <w:rPr>
                <w:bCs/>
              </w:rPr>
              <w:t xml:space="preserve"> HG nr. 193/2018</w:t>
            </w:r>
            <w:r>
              <w:rPr>
                <w:bCs/>
              </w:rPr>
              <w:t>,</w:t>
            </w:r>
            <w:r w:rsidRPr="00E74DCD">
              <w:rPr>
                <w:bCs/>
              </w:rPr>
              <w:t xml:space="preserve"> </w:t>
            </w:r>
            <w:r>
              <w:rPr>
                <w:bCs/>
              </w:rPr>
              <w:t xml:space="preserve">modificată prin HG </w:t>
            </w:r>
            <w:r w:rsidRPr="00E74DCD">
              <w:rPr>
                <w:bCs/>
              </w:rPr>
              <w:t xml:space="preserve">nr. </w:t>
            </w:r>
            <w:r>
              <w:rPr>
                <w:bCs/>
              </w:rPr>
              <w:t>317/2019.</w:t>
            </w:r>
          </w:p>
          <w:p w:rsidR="006F1144" w:rsidRPr="00680951" w:rsidRDefault="006F1144" w:rsidP="007841A1">
            <w:pPr>
              <w:autoSpaceDE w:val="0"/>
              <w:autoSpaceDN w:val="0"/>
              <w:adjustRightInd w:val="0"/>
              <w:ind w:firstLine="360"/>
              <w:jc w:val="both"/>
            </w:pPr>
            <w:r w:rsidRPr="00680951">
              <w:t xml:space="preserve">În intervalul 2015-2023, țara noastră </w:t>
            </w:r>
            <w:proofErr w:type="spellStart"/>
            <w:r w:rsidRPr="00680951">
              <w:t>şi</w:t>
            </w:r>
            <w:proofErr w:type="spellEnd"/>
            <w:r w:rsidRPr="00680951">
              <w:t>-a asumat reducerea numărului persoanelor adulte cu dizabilități din instituțiile de tip vechi la 15.111. Programele de dezinstituționalizare vor fi realizare cu finanțare europeană, prin POR 2014-2020, și națională, prin programele de interes național.</w:t>
            </w:r>
          </w:p>
          <w:p w:rsidR="006F1144" w:rsidRPr="00521A83" w:rsidRDefault="006F1144" w:rsidP="007841A1">
            <w:pPr>
              <w:ind w:left="5"/>
              <w:jc w:val="both"/>
            </w:pPr>
            <w:r w:rsidRPr="00521A83">
              <w:t xml:space="preserve">Programele de Interes </w:t>
            </w:r>
            <w:proofErr w:type="spellStart"/>
            <w:r w:rsidRPr="00521A83">
              <w:t>Naţional</w:t>
            </w:r>
            <w:proofErr w:type="spellEnd"/>
            <w:r w:rsidRPr="00521A83">
              <w:t xml:space="preserve"> contribuie la realizarea obiectivului asumat de România prin Programul Operațional Regional 2014 - 2020, respectiv reducerea la 15.111 a numărului de persoane adulte cu dizabilități din centrele rezidențiale, altele decât locuințele protejate, în anul 2023.</w:t>
            </w:r>
          </w:p>
          <w:p w:rsidR="006F1144" w:rsidRPr="00521A83" w:rsidRDefault="006F1144" w:rsidP="007841A1">
            <w:pPr>
              <w:autoSpaceDE w:val="0"/>
              <w:autoSpaceDN w:val="0"/>
              <w:adjustRightInd w:val="0"/>
              <w:spacing w:before="120"/>
              <w:ind w:left="5"/>
              <w:jc w:val="both"/>
            </w:pPr>
            <w:r w:rsidRPr="00521A83">
              <w:rPr>
                <w:bCs/>
              </w:rPr>
              <w:t xml:space="preserve">Indicatori de </w:t>
            </w:r>
            <w:proofErr w:type="spellStart"/>
            <w:r w:rsidRPr="00521A83">
              <w:rPr>
                <w:bCs/>
              </w:rPr>
              <w:t>eficienţă</w:t>
            </w:r>
            <w:proofErr w:type="spellEnd"/>
            <w:r w:rsidRPr="00521A83">
              <w:rPr>
                <w:bCs/>
              </w:rPr>
              <w:t xml:space="preserve"> sunt:</w:t>
            </w:r>
          </w:p>
          <w:p w:rsidR="006F1144" w:rsidRPr="00521A83" w:rsidRDefault="006F1144" w:rsidP="007841A1">
            <w:pPr>
              <w:tabs>
                <w:tab w:val="left" w:pos="1134"/>
                <w:tab w:val="left" w:pos="10766"/>
              </w:tabs>
              <w:autoSpaceDE w:val="0"/>
              <w:autoSpaceDN w:val="0"/>
              <w:adjustRightInd w:val="0"/>
              <w:ind w:left="5"/>
              <w:jc w:val="both"/>
            </w:pPr>
            <w:r w:rsidRPr="00521A83">
              <w:t xml:space="preserve">- </w:t>
            </w:r>
            <w:proofErr w:type="spellStart"/>
            <w:r w:rsidRPr="00521A83">
              <w:t>dezinstituţionalizarea</w:t>
            </w:r>
            <w:proofErr w:type="spellEnd"/>
            <w:r w:rsidRPr="00521A83">
              <w:t xml:space="preserve"> unui număr de 700 de persoane adulte cu </w:t>
            </w:r>
            <w:proofErr w:type="spellStart"/>
            <w:r w:rsidRPr="00521A83">
              <w:t>dizabilităţi</w:t>
            </w:r>
            <w:proofErr w:type="spellEnd"/>
            <w:r w:rsidRPr="00521A83">
              <w:t>, beneficiare ale serviciilor sociale nou-</w:t>
            </w:r>
            <w:proofErr w:type="spellStart"/>
            <w:r w:rsidRPr="00521A83">
              <w:t>înfiinţate</w:t>
            </w:r>
            <w:proofErr w:type="spellEnd"/>
            <w:r w:rsidRPr="00521A83">
              <w:t xml:space="preserve"> (89 </w:t>
            </w:r>
            <w:proofErr w:type="spellStart"/>
            <w:r w:rsidRPr="00521A83">
              <w:t>locuinţe</w:t>
            </w:r>
            <w:proofErr w:type="spellEnd"/>
            <w:r w:rsidRPr="00521A83">
              <w:t xml:space="preserve"> protejate</w:t>
            </w:r>
            <w:r w:rsidR="007841A1">
              <w:t>)</w:t>
            </w:r>
            <w:r w:rsidRPr="00521A83">
              <w:t xml:space="preserve">, </w:t>
            </w:r>
          </w:p>
          <w:p w:rsidR="006F1144" w:rsidRPr="00521A83" w:rsidRDefault="006F1144" w:rsidP="007841A1">
            <w:pPr>
              <w:tabs>
                <w:tab w:val="left" w:pos="10766"/>
              </w:tabs>
              <w:ind w:left="5"/>
              <w:jc w:val="both"/>
            </w:pPr>
            <w:r w:rsidRPr="00521A83">
              <w:t xml:space="preserve">- prevenirea </w:t>
            </w:r>
            <w:proofErr w:type="spellStart"/>
            <w:r w:rsidRPr="00521A83">
              <w:t>instituţionalizării</w:t>
            </w:r>
            <w:proofErr w:type="spellEnd"/>
            <w:r w:rsidRPr="00521A83">
              <w:t xml:space="preserve"> persoanelor adulte cu </w:t>
            </w:r>
            <w:proofErr w:type="spellStart"/>
            <w:r w:rsidRPr="00521A83">
              <w:t>dizabilităţi</w:t>
            </w:r>
            <w:proofErr w:type="spellEnd"/>
            <w:r w:rsidRPr="00521A83">
              <w:t xml:space="preserve"> din comunitate, beneficiare ale serviciilor sociale nou-</w:t>
            </w:r>
            <w:proofErr w:type="spellStart"/>
            <w:r w:rsidRPr="00521A83">
              <w:t>înfiinţate</w:t>
            </w:r>
            <w:proofErr w:type="spellEnd"/>
            <w:r w:rsidRPr="00521A83">
              <w:t xml:space="preserve"> (69 + 19 centre de zi, 8 centre respiro/centre de criză),</w:t>
            </w:r>
          </w:p>
          <w:p w:rsidR="006F1144" w:rsidRPr="00521A83" w:rsidRDefault="006F1144" w:rsidP="007841A1">
            <w:pPr>
              <w:tabs>
                <w:tab w:val="left" w:pos="10766"/>
              </w:tabs>
              <w:ind w:left="5"/>
              <w:jc w:val="both"/>
            </w:pPr>
            <w:r w:rsidRPr="00521A83">
              <w:t xml:space="preserve">- prevenirea </w:t>
            </w:r>
            <w:proofErr w:type="spellStart"/>
            <w:r w:rsidRPr="00521A83">
              <w:t>instituţionalizării</w:t>
            </w:r>
            <w:proofErr w:type="spellEnd"/>
            <w:r w:rsidRPr="00521A83">
              <w:t xml:space="preserve"> unui număr de 300 de tineri cu </w:t>
            </w:r>
            <w:proofErr w:type="spellStart"/>
            <w:r w:rsidRPr="00521A83">
              <w:t>dizabilităţi</w:t>
            </w:r>
            <w:proofErr w:type="spellEnd"/>
            <w:r w:rsidRPr="00521A83">
              <w:t xml:space="preserve"> </w:t>
            </w:r>
            <w:proofErr w:type="spellStart"/>
            <w:r w:rsidRPr="00521A83">
              <w:t>proveniţi</w:t>
            </w:r>
            <w:proofErr w:type="spellEnd"/>
            <w:r w:rsidRPr="00521A83">
              <w:t xml:space="preserve"> din sistemul de </w:t>
            </w:r>
            <w:proofErr w:type="spellStart"/>
            <w:r w:rsidRPr="00521A83">
              <w:t>protecţie</w:t>
            </w:r>
            <w:proofErr w:type="spellEnd"/>
            <w:r w:rsidRPr="00521A83">
              <w:t xml:space="preserve"> specială a copilului, beneficiari ai serviciilor sociale nou-</w:t>
            </w:r>
            <w:proofErr w:type="spellStart"/>
            <w:r w:rsidRPr="00521A83">
              <w:t>înfiinţate</w:t>
            </w:r>
            <w:proofErr w:type="spellEnd"/>
            <w:r w:rsidRPr="00521A83">
              <w:t xml:space="preserve"> (52 locuințe protejate)</w:t>
            </w:r>
          </w:p>
          <w:p w:rsidR="006F1144" w:rsidRPr="00521A83" w:rsidRDefault="006F1144" w:rsidP="006F1144">
            <w:pPr>
              <w:tabs>
                <w:tab w:val="left" w:pos="10766"/>
              </w:tabs>
              <w:spacing w:before="120"/>
              <w:ind w:left="5"/>
              <w:jc w:val="both"/>
              <w:rPr>
                <w:bCs/>
              </w:rPr>
            </w:pPr>
            <w:r w:rsidRPr="00521A83">
              <w:t>Bugetul alocat proiectelor:</w:t>
            </w:r>
          </w:p>
          <w:tbl>
            <w:tblPr>
              <w:tblpPr w:leftFromText="180" w:rightFromText="180" w:vertAnchor="text" w:horzAnchor="margin" w:tblpXSpec="right" w:tblpY="9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701"/>
              <w:gridCol w:w="1985"/>
              <w:gridCol w:w="1701"/>
              <w:gridCol w:w="1842"/>
            </w:tblGrid>
            <w:tr w:rsidR="006F1144" w:rsidRPr="00521A83" w:rsidTr="005C3AC9">
              <w:trPr>
                <w:trHeight w:val="70"/>
              </w:trPr>
              <w:tc>
                <w:tcPr>
                  <w:tcW w:w="2693" w:type="dxa"/>
                  <w:shd w:val="clear" w:color="auto" w:fill="auto"/>
                  <w:noWrap/>
                  <w:vAlign w:val="bottom"/>
                  <w:hideMark/>
                </w:tcPr>
                <w:p w:rsidR="006F1144" w:rsidRPr="00521A83" w:rsidRDefault="006F1144" w:rsidP="006F1144">
                  <w:pPr>
                    <w:ind w:left="38"/>
                    <w:rPr>
                      <w:color w:val="000000"/>
                      <w:lang w:eastAsia="ro-RO"/>
                    </w:rPr>
                  </w:pPr>
                  <w:r w:rsidRPr="00521A83">
                    <w:rPr>
                      <w:color w:val="000000"/>
                      <w:lang w:eastAsia="ro-RO"/>
                    </w:rPr>
                    <w:t>An</w:t>
                  </w:r>
                </w:p>
              </w:tc>
              <w:tc>
                <w:tcPr>
                  <w:tcW w:w="1701" w:type="dxa"/>
                  <w:vAlign w:val="center"/>
                </w:tcPr>
                <w:p w:rsidR="006F1144" w:rsidRPr="00521A83" w:rsidRDefault="006F1144" w:rsidP="006F1144">
                  <w:pPr>
                    <w:ind w:left="-107"/>
                    <w:jc w:val="center"/>
                    <w:rPr>
                      <w:b/>
                      <w:bCs/>
                      <w:color w:val="000000"/>
                      <w:lang w:eastAsia="ro-RO"/>
                    </w:rPr>
                  </w:pPr>
                  <w:r w:rsidRPr="00521A83">
                    <w:rPr>
                      <w:b/>
                      <w:bCs/>
                      <w:color w:val="000000"/>
                      <w:lang w:eastAsia="ro-RO"/>
                    </w:rPr>
                    <w:t>2018 (lei)</w:t>
                  </w:r>
                </w:p>
              </w:tc>
              <w:tc>
                <w:tcPr>
                  <w:tcW w:w="1985" w:type="dxa"/>
                  <w:shd w:val="clear" w:color="auto" w:fill="auto"/>
                  <w:noWrap/>
                  <w:vAlign w:val="center"/>
                </w:tcPr>
                <w:p w:rsidR="006F1144" w:rsidRPr="00521A83" w:rsidRDefault="006F1144" w:rsidP="006F1144">
                  <w:pPr>
                    <w:ind w:left="-101"/>
                    <w:jc w:val="center"/>
                    <w:rPr>
                      <w:b/>
                      <w:bCs/>
                      <w:color w:val="000000"/>
                      <w:lang w:eastAsia="ro-RO"/>
                    </w:rPr>
                  </w:pPr>
                  <w:r w:rsidRPr="00521A83">
                    <w:rPr>
                      <w:b/>
                      <w:bCs/>
                      <w:color w:val="000000"/>
                      <w:lang w:eastAsia="ro-RO"/>
                    </w:rPr>
                    <w:t>2019 (lei)</w:t>
                  </w:r>
                </w:p>
              </w:tc>
              <w:tc>
                <w:tcPr>
                  <w:tcW w:w="1701" w:type="dxa"/>
                  <w:shd w:val="clear" w:color="auto" w:fill="auto"/>
                  <w:noWrap/>
                  <w:vAlign w:val="center"/>
                </w:tcPr>
                <w:p w:rsidR="006F1144" w:rsidRPr="00521A83" w:rsidRDefault="006F1144" w:rsidP="006F1144">
                  <w:pPr>
                    <w:jc w:val="center"/>
                    <w:rPr>
                      <w:b/>
                      <w:bCs/>
                      <w:color w:val="000000"/>
                      <w:lang w:eastAsia="ro-RO"/>
                    </w:rPr>
                  </w:pPr>
                  <w:r w:rsidRPr="00521A83">
                    <w:rPr>
                      <w:b/>
                      <w:bCs/>
                      <w:color w:val="000000"/>
                      <w:lang w:eastAsia="ro-RO"/>
                    </w:rPr>
                    <w:t>2020 (lei)</w:t>
                  </w:r>
                </w:p>
              </w:tc>
              <w:tc>
                <w:tcPr>
                  <w:tcW w:w="1842" w:type="dxa"/>
                  <w:vAlign w:val="center"/>
                </w:tcPr>
                <w:p w:rsidR="006F1144" w:rsidRPr="00521A83" w:rsidRDefault="006F1144" w:rsidP="006F1144">
                  <w:pPr>
                    <w:jc w:val="center"/>
                    <w:rPr>
                      <w:b/>
                      <w:bCs/>
                      <w:color w:val="000000"/>
                      <w:lang w:eastAsia="ro-RO"/>
                    </w:rPr>
                  </w:pPr>
                  <w:r w:rsidRPr="00521A83">
                    <w:rPr>
                      <w:b/>
                      <w:bCs/>
                      <w:color w:val="000000"/>
                      <w:lang w:eastAsia="ro-RO"/>
                    </w:rPr>
                    <w:t>Total (lei)</w:t>
                  </w:r>
                </w:p>
              </w:tc>
            </w:tr>
            <w:tr w:rsidR="006F1144" w:rsidRPr="00521A83" w:rsidTr="005C3AC9">
              <w:trPr>
                <w:trHeight w:val="201"/>
              </w:trPr>
              <w:tc>
                <w:tcPr>
                  <w:tcW w:w="2693" w:type="dxa"/>
                  <w:shd w:val="clear" w:color="auto" w:fill="auto"/>
                  <w:noWrap/>
                  <w:vAlign w:val="center"/>
                  <w:hideMark/>
                </w:tcPr>
                <w:p w:rsidR="006F1144" w:rsidRPr="00521A83" w:rsidRDefault="006F1144" w:rsidP="006F1144">
                  <w:pPr>
                    <w:rPr>
                      <w:color w:val="000000"/>
                      <w:lang w:eastAsia="ro-RO"/>
                    </w:rPr>
                  </w:pPr>
                  <w:r w:rsidRPr="00521A83">
                    <w:rPr>
                      <w:color w:val="000000"/>
                      <w:lang w:eastAsia="ro-RO"/>
                    </w:rPr>
                    <w:t xml:space="preserve">PIN 1 </w:t>
                  </w:r>
                  <w:proofErr w:type="spellStart"/>
                  <w:r w:rsidRPr="00521A83">
                    <w:rPr>
                      <w:color w:val="000000"/>
                      <w:lang w:eastAsia="ro-RO"/>
                    </w:rPr>
                    <w:t>conf</w:t>
                  </w:r>
                  <w:proofErr w:type="spellEnd"/>
                  <w:r w:rsidRPr="00521A83">
                    <w:rPr>
                      <w:color w:val="000000"/>
                      <w:lang w:eastAsia="ro-RO"/>
                    </w:rPr>
                    <w:t xml:space="preserve"> HG 317/2019</w:t>
                  </w:r>
                </w:p>
              </w:tc>
              <w:tc>
                <w:tcPr>
                  <w:tcW w:w="1701" w:type="dxa"/>
                  <w:vAlign w:val="center"/>
                </w:tcPr>
                <w:p w:rsidR="006F1144" w:rsidRPr="00521A83" w:rsidRDefault="006F1144" w:rsidP="006F1144">
                  <w:pPr>
                    <w:ind w:left="-107"/>
                    <w:jc w:val="center"/>
                    <w:rPr>
                      <w:b/>
                      <w:bCs/>
                      <w:color w:val="000000"/>
                      <w:lang w:eastAsia="ro-RO"/>
                    </w:rPr>
                  </w:pPr>
                  <w:r w:rsidRPr="00521A83">
                    <w:rPr>
                      <w:b/>
                      <w:bCs/>
                      <w:color w:val="000000"/>
                      <w:lang w:eastAsia="ro-RO"/>
                    </w:rPr>
                    <w:t>0</w:t>
                  </w:r>
                </w:p>
              </w:tc>
              <w:tc>
                <w:tcPr>
                  <w:tcW w:w="1985" w:type="dxa"/>
                  <w:shd w:val="clear" w:color="auto" w:fill="auto"/>
                  <w:noWrap/>
                  <w:vAlign w:val="center"/>
                  <w:hideMark/>
                </w:tcPr>
                <w:p w:rsidR="006F1144" w:rsidRPr="00521A83" w:rsidRDefault="006F1144" w:rsidP="006F1144">
                  <w:pPr>
                    <w:ind w:left="-101"/>
                    <w:jc w:val="center"/>
                    <w:rPr>
                      <w:b/>
                      <w:bCs/>
                      <w:color w:val="000000"/>
                      <w:lang w:eastAsia="ro-RO"/>
                    </w:rPr>
                  </w:pPr>
                  <w:r w:rsidRPr="00521A83">
                    <w:rPr>
                      <w:b/>
                      <w:bCs/>
                      <w:color w:val="000000"/>
                      <w:lang w:eastAsia="ro-RO"/>
                    </w:rPr>
                    <w:t>31.936.000</w:t>
                  </w:r>
                </w:p>
              </w:tc>
              <w:tc>
                <w:tcPr>
                  <w:tcW w:w="1701" w:type="dxa"/>
                  <w:shd w:val="clear" w:color="auto" w:fill="auto"/>
                  <w:noWrap/>
                  <w:vAlign w:val="center"/>
                  <w:hideMark/>
                </w:tcPr>
                <w:p w:rsidR="006F1144" w:rsidRPr="00521A83" w:rsidRDefault="006F1144" w:rsidP="006F1144">
                  <w:pPr>
                    <w:jc w:val="center"/>
                    <w:rPr>
                      <w:b/>
                      <w:bCs/>
                      <w:color w:val="000000"/>
                      <w:lang w:eastAsia="ro-RO"/>
                    </w:rPr>
                  </w:pPr>
                  <w:r w:rsidRPr="00521A83">
                    <w:rPr>
                      <w:b/>
                      <w:bCs/>
                      <w:color w:val="000000"/>
                      <w:lang w:eastAsia="ro-RO"/>
                    </w:rPr>
                    <w:t>42.936.000</w:t>
                  </w:r>
                </w:p>
              </w:tc>
              <w:tc>
                <w:tcPr>
                  <w:tcW w:w="1842" w:type="dxa"/>
                  <w:vAlign w:val="center"/>
                </w:tcPr>
                <w:p w:rsidR="006F1144" w:rsidRPr="00521A83" w:rsidRDefault="006F1144" w:rsidP="006F1144">
                  <w:pPr>
                    <w:jc w:val="center"/>
                    <w:rPr>
                      <w:b/>
                      <w:bCs/>
                      <w:color w:val="000000"/>
                      <w:lang w:eastAsia="ro-RO"/>
                    </w:rPr>
                  </w:pPr>
                  <w:r w:rsidRPr="00521A83">
                    <w:rPr>
                      <w:b/>
                      <w:bCs/>
                      <w:color w:val="000000"/>
                      <w:lang w:eastAsia="ro-RO"/>
                    </w:rPr>
                    <w:t>74.507.000</w:t>
                  </w:r>
                </w:p>
              </w:tc>
            </w:tr>
            <w:tr w:rsidR="006F1144" w:rsidRPr="00521A83" w:rsidTr="005C3AC9">
              <w:trPr>
                <w:trHeight w:val="249"/>
              </w:trPr>
              <w:tc>
                <w:tcPr>
                  <w:tcW w:w="2693" w:type="dxa"/>
                  <w:vAlign w:val="center"/>
                </w:tcPr>
                <w:p w:rsidR="006F1144" w:rsidRPr="00521A83" w:rsidRDefault="006F1144" w:rsidP="006F1144">
                  <w:pPr>
                    <w:rPr>
                      <w:color w:val="000000"/>
                      <w:lang w:eastAsia="ro-RO"/>
                    </w:rPr>
                  </w:pPr>
                  <w:r w:rsidRPr="00521A83">
                    <w:rPr>
                      <w:color w:val="000000"/>
                      <w:lang w:eastAsia="ro-RO"/>
                    </w:rPr>
                    <w:t xml:space="preserve">PIN 2 </w:t>
                  </w:r>
                  <w:proofErr w:type="spellStart"/>
                  <w:r w:rsidRPr="00521A83">
                    <w:rPr>
                      <w:color w:val="000000"/>
                      <w:lang w:eastAsia="ro-RO"/>
                    </w:rPr>
                    <w:t>conf</w:t>
                  </w:r>
                  <w:proofErr w:type="spellEnd"/>
                  <w:r w:rsidRPr="00521A83">
                    <w:rPr>
                      <w:color w:val="000000"/>
                      <w:lang w:eastAsia="ro-RO"/>
                    </w:rPr>
                    <w:t xml:space="preserve"> HG 317/2019</w:t>
                  </w:r>
                </w:p>
              </w:tc>
              <w:tc>
                <w:tcPr>
                  <w:tcW w:w="1701" w:type="dxa"/>
                </w:tcPr>
                <w:p w:rsidR="006F1144" w:rsidRPr="00521A83" w:rsidRDefault="006F1144" w:rsidP="006F1144">
                  <w:pPr>
                    <w:ind w:left="-100"/>
                    <w:jc w:val="center"/>
                    <w:rPr>
                      <w:b/>
                      <w:bCs/>
                      <w:color w:val="000000"/>
                      <w:lang w:eastAsia="ro-RO"/>
                    </w:rPr>
                  </w:pPr>
                  <w:r w:rsidRPr="00521A83">
                    <w:rPr>
                      <w:b/>
                      <w:bCs/>
                      <w:color w:val="000000"/>
                      <w:lang w:eastAsia="ro-RO"/>
                    </w:rPr>
                    <w:t>0</w:t>
                  </w:r>
                </w:p>
              </w:tc>
              <w:tc>
                <w:tcPr>
                  <w:tcW w:w="1985" w:type="dxa"/>
                  <w:shd w:val="clear" w:color="auto" w:fill="auto"/>
                  <w:noWrap/>
                  <w:vAlign w:val="center"/>
                </w:tcPr>
                <w:p w:rsidR="006F1144" w:rsidRPr="00521A83" w:rsidRDefault="006F1144" w:rsidP="006F1144">
                  <w:pPr>
                    <w:ind w:left="-109"/>
                    <w:jc w:val="center"/>
                    <w:rPr>
                      <w:b/>
                      <w:bCs/>
                      <w:color w:val="000000"/>
                      <w:lang w:eastAsia="ro-RO"/>
                    </w:rPr>
                  </w:pPr>
                  <w:r w:rsidRPr="00521A83">
                    <w:rPr>
                      <w:b/>
                      <w:bCs/>
                      <w:color w:val="000000"/>
                      <w:lang w:eastAsia="ro-RO"/>
                    </w:rPr>
                    <w:t>14.418.000</w:t>
                  </w:r>
                </w:p>
              </w:tc>
              <w:tc>
                <w:tcPr>
                  <w:tcW w:w="1701" w:type="dxa"/>
                  <w:shd w:val="clear" w:color="auto" w:fill="auto"/>
                  <w:noWrap/>
                  <w:vAlign w:val="center"/>
                </w:tcPr>
                <w:p w:rsidR="006F1144" w:rsidRPr="00521A83" w:rsidRDefault="006F1144" w:rsidP="006F1144">
                  <w:pPr>
                    <w:ind w:left="-111"/>
                    <w:jc w:val="center"/>
                    <w:rPr>
                      <w:b/>
                      <w:bCs/>
                      <w:color w:val="000000"/>
                      <w:lang w:eastAsia="ro-RO"/>
                    </w:rPr>
                  </w:pPr>
                  <w:r w:rsidRPr="00521A83">
                    <w:rPr>
                      <w:b/>
                      <w:bCs/>
                      <w:color w:val="000000"/>
                      <w:lang w:eastAsia="ro-RO"/>
                    </w:rPr>
                    <w:t>20.360.000</w:t>
                  </w:r>
                </w:p>
              </w:tc>
              <w:tc>
                <w:tcPr>
                  <w:tcW w:w="1842" w:type="dxa"/>
                  <w:vAlign w:val="center"/>
                </w:tcPr>
                <w:p w:rsidR="006F1144" w:rsidRPr="00521A83" w:rsidRDefault="006F1144" w:rsidP="006F1144">
                  <w:pPr>
                    <w:ind w:left="-113"/>
                    <w:jc w:val="center"/>
                    <w:rPr>
                      <w:b/>
                      <w:bCs/>
                      <w:color w:val="000000"/>
                      <w:lang w:eastAsia="ro-RO"/>
                    </w:rPr>
                  </w:pPr>
                  <w:r w:rsidRPr="00521A83">
                    <w:rPr>
                      <w:b/>
                      <w:bCs/>
                      <w:color w:val="000000"/>
                      <w:lang w:eastAsia="ro-RO"/>
                    </w:rPr>
                    <w:t>34.778.000</w:t>
                  </w:r>
                </w:p>
              </w:tc>
            </w:tr>
          </w:tbl>
          <w:p w:rsidR="006F1144" w:rsidRPr="00680951" w:rsidRDefault="006F1144" w:rsidP="00680951">
            <w:pPr>
              <w:autoSpaceDE w:val="0"/>
              <w:autoSpaceDN w:val="0"/>
              <w:adjustRightInd w:val="0"/>
              <w:spacing w:line="276" w:lineRule="auto"/>
              <w:ind w:firstLine="360"/>
              <w:jc w:val="both"/>
            </w:pPr>
          </w:p>
          <w:p w:rsidR="00D231B2" w:rsidRDefault="00D231B2" w:rsidP="00680951">
            <w:pPr>
              <w:spacing w:line="276" w:lineRule="auto"/>
              <w:ind w:firstLine="360"/>
              <w:jc w:val="both"/>
              <w:rPr>
                <w:shd w:val="clear" w:color="auto" w:fill="FFFFFF"/>
              </w:rPr>
            </w:pPr>
            <w:r>
              <w:rPr>
                <w:shd w:val="clear" w:color="auto" w:fill="FFFFFF"/>
              </w:rPr>
              <w:t xml:space="preserve">În </w:t>
            </w:r>
            <w:r w:rsidR="00DD4843">
              <w:rPr>
                <w:shd w:val="clear" w:color="auto" w:fill="FFFFFF"/>
              </w:rPr>
              <w:t>perioada</w:t>
            </w:r>
            <w:r>
              <w:rPr>
                <w:shd w:val="clear" w:color="auto" w:fill="FFFFFF"/>
              </w:rPr>
              <w:t xml:space="preserve"> </w:t>
            </w:r>
            <w:r w:rsidR="00DD4843">
              <w:rPr>
                <w:shd w:val="clear" w:color="auto" w:fill="FFFFFF"/>
              </w:rPr>
              <w:t xml:space="preserve">august </w:t>
            </w:r>
            <w:r>
              <w:rPr>
                <w:shd w:val="clear" w:color="auto" w:fill="FFFFFF"/>
              </w:rPr>
              <w:t>2018</w:t>
            </w:r>
            <w:r w:rsidR="00DD4843">
              <w:rPr>
                <w:shd w:val="clear" w:color="auto" w:fill="FFFFFF"/>
              </w:rPr>
              <w:t xml:space="preserve"> – </w:t>
            </w:r>
            <w:r w:rsidR="00BE1BE1">
              <w:rPr>
                <w:shd w:val="clear" w:color="auto" w:fill="FFFFFF"/>
              </w:rPr>
              <w:t>octombrie</w:t>
            </w:r>
            <w:r w:rsidR="00DD4843">
              <w:rPr>
                <w:shd w:val="clear" w:color="auto" w:fill="FFFFFF"/>
              </w:rPr>
              <w:t xml:space="preserve"> 2019</w:t>
            </w:r>
            <w:r>
              <w:rPr>
                <w:shd w:val="clear" w:color="auto" w:fill="FFFFFF"/>
              </w:rPr>
              <w:t xml:space="preserve">, ANPD a derulat </w:t>
            </w:r>
            <w:r w:rsidR="00BE1BE1">
              <w:rPr>
                <w:shd w:val="clear" w:color="auto" w:fill="FFFFFF"/>
              </w:rPr>
              <w:t>patru</w:t>
            </w:r>
            <w:r>
              <w:rPr>
                <w:shd w:val="clear" w:color="auto" w:fill="FFFFFF"/>
              </w:rPr>
              <w:t xml:space="preserve"> sesiuni de selecție publică de proiecte în cadrul </w:t>
            </w:r>
            <w:r w:rsidR="00DD4843">
              <w:rPr>
                <w:shd w:val="clear" w:color="auto" w:fill="FFFFFF"/>
              </w:rPr>
              <w:t xml:space="preserve">programului de interes național </w:t>
            </w:r>
            <w:r w:rsidR="00CA1D13" w:rsidRPr="00680951">
              <w:rPr>
                <w:shd w:val="clear" w:color="auto" w:fill="FFFFFF"/>
              </w:rPr>
              <w:t>"</w:t>
            </w:r>
            <w:proofErr w:type="spellStart"/>
            <w:r w:rsidR="00CA1D13" w:rsidRPr="00680951">
              <w:rPr>
                <w:shd w:val="clear" w:color="auto" w:fill="FFFFFF"/>
              </w:rPr>
              <w:t>Înfiinţarea</w:t>
            </w:r>
            <w:proofErr w:type="spellEnd"/>
            <w:r w:rsidR="00CA1D13" w:rsidRPr="00680951">
              <w:rPr>
                <w:shd w:val="clear" w:color="auto" w:fill="FFFFFF"/>
              </w:rPr>
              <w:t xml:space="preserve"> de servicii sociale de tip centre de zi, centre respiro/centre de criză </w:t>
            </w:r>
            <w:proofErr w:type="spellStart"/>
            <w:r w:rsidR="00CA1D13" w:rsidRPr="00680951">
              <w:rPr>
                <w:shd w:val="clear" w:color="auto" w:fill="FFFFFF"/>
              </w:rPr>
              <w:t>şi</w:t>
            </w:r>
            <w:proofErr w:type="spellEnd"/>
            <w:r w:rsidR="00CA1D13" w:rsidRPr="00680951">
              <w:rPr>
                <w:shd w:val="clear" w:color="auto" w:fill="FFFFFF"/>
              </w:rPr>
              <w:t xml:space="preserve"> </w:t>
            </w:r>
            <w:proofErr w:type="spellStart"/>
            <w:r w:rsidR="00CA1D13" w:rsidRPr="00680951">
              <w:rPr>
                <w:shd w:val="clear" w:color="auto" w:fill="FFFFFF"/>
              </w:rPr>
              <w:t>locuinţe</w:t>
            </w:r>
            <w:proofErr w:type="spellEnd"/>
            <w:r w:rsidR="00CA1D13" w:rsidRPr="00680951">
              <w:rPr>
                <w:shd w:val="clear" w:color="auto" w:fill="FFFFFF"/>
              </w:rPr>
              <w:t xml:space="preserve"> protejate în vederea </w:t>
            </w:r>
            <w:proofErr w:type="spellStart"/>
            <w:r w:rsidR="00CA1D13" w:rsidRPr="00680951">
              <w:rPr>
                <w:shd w:val="clear" w:color="auto" w:fill="FFFFFF"/>
              </w:rPr>
              <w:t>dezinstituţionalizării</w:t>
            </w:r>
            <w:proofErr w:type="spellEnd"/>
            <w:r w:rsidR="00CA1D13" w:rsidRPr="00680951">
              <w:rPr>
                <w:shd w:val="clear" w:color="auto" w:fill="FFFFFF"/>
              </w:rPr>
              <w:t xml:space="preserve"> persoanelor cu </w:t>
            </w:r>
            <w:proofErr w:type="spellStart"/>
            <w:r w:rsidR="00CA1D13" w:rsidRPr="00680951">
              <w:rPr>
                <w:shd w:val="clear" w:color="auto" w:fill="FFFFFF"/>
              </w:rPr>
              <w:t>dizabilităţi</w:t>
            </w:r>
            <w:proofErr w:type="spellEnd"/>
            <w:r w:rsidR="00CA1D13" w:rsidRPr="00680951">
              <w:rPr>
                <w:shd w:val="clear" w:color="auto" w:fill="FFFFFF"/>
              </w:rPr>
              <w:t xml:space="preserve"> aflate în </w:t>
            </w:r>
            <w:proofErr w:type="spellStart"/>
            <w:r w:rsidR="00CA1D13" w:rsidRPr="00680951">
              <w:rPr>
                <w:shd w:val="clear" w:color="auto" w:fill="FFFFFF"/>
              </w:rPr>
              <w:t>instituţii</w:t>
            </w:r>
            <w:proofErr w:type="spellEnd"/>
            <w:r w:rsidR="00CA1D13" w:rsidRPr="00680951">
              <w:rPr>
                <w:shd w:val="clear" w:color="auto" w:fill="FFFFFF"/>
              </w:rPr>
              <w:t xml:space="preserve"> de tip vechi </w:t>
            </w:r>
            <w:proofErr w:type="spellStart"/>
            <w:r w:rsidR="00CA1D13" w:rsidRPr="00680951">
              <w:rPr>
                <w:shd w:val="clear" w:color="auto" w:fill="FFFFFF"/>
              </w:rPr>
              <w:t>şi</w:t>
            </w:r>
            <w:proofErr w:type="spellEnd"/>
            <w:r w:rsidR="00CA1D13" w:rsidRPr="00680951">
              <w:rPr>
                <w:shd w:val="clear" w:color="auto" w:fill="FFFFFF"/>
              </w:rPr>
              <w:t xml:space="preserve"> pentru prevenirea </w:t>
            </w:r>
            <w:proofErr w:type="spellStart"/>
            <w:r w:rsidR="00CA1D13" w:rsidRPr="00680951">
              <w:rPr>
                <w:shd w:val="clear" w:color="auto" w:fill="FFFFFF"/>
              </w:rPr>
              <w:t>instituţionalizării</w:t>
            </w:r>
            <w:proofErr w:type="spellEnd"/>
            <w:r w:rsidR="00CA1D13" w:rsidRPr="00680951">
              <w:rPr>
                <w:shd w:val="clear" w:color="auto" w:fill="FFFFFF"/>
              </w:rPr>
              <w:t xml:space="preserve"> persoanelor cu </w:t>
            </w:r>
            <w:proofErr w:type="spellStart"/>
            <w:r w:rsidR="00CA1D13" w:rsidRPr="00680951">
              <w:rPr>
                <w:shd w:val="clear" w:color="auto" w:fill="FFFFFF"/>
              </w:rPr>
              <w:t>dizabilităţi</w:t>
            </w:r>
            <w:proofErr w:type="spellEnd"/>
            <w:r w:rsidR="00CA1D13" w:rsidRPr="00680951">
              <w:rPr>
                <w:shd w:val="clear" w:color="auto" w:fill="FFFFFF"/>
              </w:rPr>
              <w:t xml:space="preserve"> din comunitate"</w:t>
            </w:r>
            <w:r w:rsidR="00CA1D13">
              <w:rPr>
                <w:shd w:val="clear" w:color="auto" w:fill="FFFFFF"/>
              </w:rPr>
              <w:t xml:space="preserve"> </w:t>
            </w:r>
            <w:r w:rsidR="00DD4843">
              <w:rPr>
                <w:shd w:val="clear" w:color="auto" w:fill="FFFFFF"/>
              </w:rPr>
              <w:t xml:space="preserve">aprobat </w:t>
            </w:r>
            <w:r w:rsidR="00DD4843" w:rsidRPr="00C27E39">
              <w:rPr>
                <w:shd w:val="clear" w:color="auto" w:fill="FFFFFF"/>
              </w:rPr>
              <w:t xml:space="preserve">prin </w:t>
            </w:r>
            <w:r w:rsidR="00DD4843" w:rsidRPr="00C27E39">
              <w:rPr>
                <w:b/>
                <w:shd w:val="clear" w:color="auto" w:fill="FFFFFF"/>
              </w:rPr>
              <w:t xml:space="preserve">HG nr. 798/2016, </w:t>
            </w:r>
            <w:r w:rsidR="007201B1" w:rsidRPr="00C27E39">
              <w:rPr>
                <w:b/>
                <w:shd w:val="clear" w:color="auto" w:fill="FFFFFF"/>
              </w:rPr>
              <w:t>modificată prin HG nr. 192/2018</w:t>
            </w:r>
            <w:r w:rsidR="007201B1">
              <w:rPr>
                <w:b/>
                <w:shd w:val="clear" w:color="auto" w:fill="FFFFFF"/>
              </w:rPr>
              <w:t xml:space="preserve"> și </w:t>
            </w:r>
            <w:r w:rsidR="007201B1" w:rsidRPr="00C27E39">
              <w:rPr>
                <w:b/>
                <w:shd w:val="clear" w:color="auto" w:fill="FFFFFF"/>
              </w:rPr>
              <w:t xml:space="preserve">HG nr. </w:t>
            </w:r>
            <w:r w:rsidR="007201B1">
              <w:rPr>
                <w:b/>
                <w:shd w:val="clear" w:color="auto" w:fill="FFFFFF"/>
              </w:rPr>
              <w:t>317/2019</w:t>
            </w:r>
            <w:r>
              <w:rPr>
                <w:shd w:val="clear" w:color="auto" w:fill="FFFFFF"/>
              </w:rPr>
              <w:t xml:space="preserve">. Ca urmare a derulării celor </w:t>
            </w:r>
            <w:r w:rsidR="00BC142A">
              <w:rPr>
                <w:shd w:val="clear" w:color="auto" w:fill="FFFFFF"/>
              </w:rPr>
              <w:t xml:space="preserve">patru </w:t>
            </w:r>
            <w:r>
              <w:rPr>
                <w:shd w:val="clear" w:color="auto" w:fill="FFFFFF"/>
              </w:rPr>
              <w:t xml:space="preserve">sesiuni de selecție publică de proiecte </w:t>
            </w:r>
            <w:r w:rsidR="00DD4843">
              <w:rPr>
                <w:shd w:val="clear" w:color="auto" w:fill="FFFFFF"/>
              </w:rPr>
              <w:t xml:space="preserve">și în urma retragerii unuia dintre </w:t>
            </w:r>
            <w:r w:rsidR="00C27E39">
              <w:rPr>
                <w:shd w:val="clear" w:color="auto" w:fill="FFFFFF"/>
              </w:rPr>
              <w:t xml:space="preserve">proiectele declarate admise, </w:t>
            </w:r>
            <w:r w:rsidR="00DD4843">
              <w:rPr>
                <w:shd w:val="clear" w:color="auto" w:fill="FFFFFF"/>
              </w:rPr>
              <w:t xml:space="preserve">au fost </w:t>
            </w:r>
            <w:r w:rsidR="00C27E39">
              <w:rPr>
                <w:shd w:val="clear" w:color="auto" w:fill="FFFFFF"/>
              </w:rPr>
              <w:t xml:space="preserve">propuse la finanțare </w:t>
            </w:r>
            <w:r w:rsidR="00BE1BE1">
              <w:rPr>
                <w:shd w:val="clear" w:color="auto" w:fill="FFFFFF"/>
              </w:rPr>
              <w:t>34</w:t>
            </w:r>
            <w:r w:rsidR="00DD4843">
              <w:rPr>
                <w:shd w:val="clear" w:color="auto" w:fill="FFFFFF"/>
              </w:rPr>
              <w:t xml:space="preserve"> de proiecte prin care se propune înființarea a </w:t>
            </w:r>
            <w:r w:rsidR="00BE1BE1">
              <w:rPr>
                <w:shd w:val="clear" w:color="auto" w:fill="FFFFFF"/>
              </w:rPr>
              <w:t>87</w:t>
            </w:r>
            <w:r w:rsidR="00C27E39">
              <w:rPr>
                <w:shd w:val="clear" w:color="auto" w:fill="FFFFFF"/>
              </w:rPr>
              <w:t xml:space="preserve"> de locuințe protejate, a </w:t>
            </w:r>
            <w:r w:rsidR="00BE1BE1">
              <w:rPr>
                <w:shd w:val="clear" w:color="auto" w:fill="FFFFFF"/>
              </w:rPr>
              <w:t>29</w:t>
            </w:r>
            <w:r w:rsidR="00DD4843">
              <w:rPr>
                <w:shd w:val="clear" w:color="auto" w:fill="FFFFFF"/>
              </w:rPr>
              <w:t xml:space="preserve"> de centre de zi și </w:t>
            </w:r>
            <w:r w:rsidR="00BC142A">
              <w:rPr>
                <w:shd w:val="clear" w:color="auto" w:fill="FFFFFF"/>
              </w:rPr>
              <w:t>5</w:t>
            </w:r>
            <w:r w:rsidR="00DD4843">
              <w:rPr>
                <w:shd w:val="clear" w:color="auto" w:fill="FFFFFF"/>
              </w:rPr>
              <w:t xml:space="preserve"> </w:t>
            </w:r>
            <w:r w:rsidR="00C27E39" w:rsidRPr="00C27E39">
              <w:rPr>
                <w:shd w:val="clear" w:color="auto" w:fill="FFFFFF"/>
              </w:rPr>
              <w:t>centre respiro/centre de criză</w:t>
            </w:r>
            <w:r w:rsidR="00C27E39">
              <w:rPr>
                <w:shd w:val="clear" w:color="auto" w:fill="FFFFFF"/>
              </w:rPr>
              <w:t>.</w:t>
            </w:r>
            <w:r w:rsidR="00DD4843">
              <w:rPr>
                <w:shd w:val="clear" w:color="auto" w:fill="FFFFFF"/>
              </w:rPr>
              <w:t xml:space="preserve">  </w:t>
            </w:r>
            <w:r>
              <w:rPr>
                <w:shd w:val="clear" w:color="auto" w:fill="FFFFFF"/>
              </w:rPr>
              <w:t xml:space="preserve"> </w:t>
            </w:r>
          </w:p>
          <w:p w:rsidR="00C27E39" w:rsidRDefault="00C27E39" w:rsidP="00C27E39">
            <w:pPr>
              <w:spacing w:line="276" w:lineRule="auto"/>
              <w:ind w:firstLine="360"/>
              <w:jc w:val="both"/>
              <w:rPr>
                <w:shd w:val="clear" w:color="auto" w:fill="FFFFFF"/>
              </w:rPr>
            </w:pPr>
            <w:r>
              <w:rPr>
                <w:shd w:val="clear" w:color="auto" w:fill="FFFFFF"/>
              </w:rPr>
              <w:t xml:space="preserve">De asemenea, în perioada august 2018 – </w:t>
            </w:r>
            <w:r w:rsidR="00BC142A">
              <w:rPr>
                <w:shd w:val="clear" w:color="auto" w:fill="FFFFFF"/>
              </w:rPr>
              <w:t>octombrie</w:t>
            </w:r>
            <w:r>
              <w:rPr>
                <w:shd w:val="clear" w:color="auto" w:fill="FFFFFF"/>
              </w:rPr>
              <w:t xml:space="preserve"> 2019, ANPD a derulat </w:t>
            </w:r>
            <w:r w:rsidR="00BE1BE1">
              <w:rPr>
                <w:shd w:val="clear" w:color="auto" w:fill="FFFFFF"/>
              </w:rPr>
              <w:t>șase</w:t>
            </w:r>
            <w:r>
              <w:rPr>
                <w:shd w:val="clear" w:color="auto" w:fill="FFFFFF"/>
              </w:rPr>
              <w:t xml:space="preserve"> sesiuni de selecție publică de proiecte în cadrul programului de interes național </w:t>
            </w:r>
            <w:r w:rsidR="00CA1D13" w:rsidRPr="00234828">
              <w:rPr>
                <w:shd w:val="clear" w:color="auto" w:fill="FFFFFF"/>
              </w:rPr>
              <w:t>"</w:t>
            </w:r>
            <w:proofErr w:type="spellStart"/>
            <w:r w:rsidR="00CA1D13" w:rsidRPr="00234828">
              <w:rPr>
                <w:shd w:val="clear" w:color="auto" w:fill="FFFFFF"/>
              </w:rPr>
              <w:t>Înfiinţarea</w:t>
            </w:r>
            <w:proofErr w:type="spellEnd"/>
            <w:r w:rsidR="00CA1D13" w:rsidRPr="00234828">
              <w:rPr>
                <w:shd w:val="clear" w:color="auto" w:fill="FFFFFF"/>
              </w:rPr>
              <w:t xml:space="preserve"> de servicii sociale în vederea asigurării </w:t>
            </w:r>
            <w:proofErr w:type="spellStart"/>
            <w:r w:rsidR="00CA1D13" w:rsidRPr="00234828">
              <w:rPr>
                <w:shd w:val="clear" w:color="auto" w:fill="FFFFFF"/>
              </w:rPr>
              <w:t>tranziţiei</w:t>
            </w:r>
            <w:proofErr w:type="spellEnd"/>
            <w:r w:rsidR="00CA1D13" w:rsidRPr="00234828">
              <w:rPr>
                <w:shd w:val="clear" w:color="auto" w:fill="FFFFFF"/>
              </w:rPr>
              <w:t xml:space="preserve"> tinerilor cu </w:t>
            </w:r>
            <w:proofErr w:type="spellStart"/>
            <w:r w:rsidR="00CA1D13" w:rsidRPr="00234828">
              <w:rPr>
                <w:shd w:val="clear" w:color="auto" w:fill="FFFFFF"/>
              </w:rPr>
              <w:t>dizabilităţi</w:t>
            </w:r>
            <w:proofErr w:type="spellEnd"/>
            <w:r w:rsidR="00CA1D13" w:rsidRPr="00234828">
              <w:rPr>
                <w:shd w:val="clear" w:color="auto" w:fill="FFFFFF"/>
              </w:rPr>
              <w:t xml:space="preserve"> de la sistemul de </w:t>
            </w:r>
            <w:proofErr w:type="spellStart"/>
            <w:r w:rsidR="00CA1D13" w:rsidRPr="00234828">
              <w:rPr>
                <w:shd w:val="clear" w:color="auto" w:fill="FFFFFF"/>
              </w:rPr>
              <w:t>protecţie</w:t>
            </w:r>
            <w:proofErr w:type="spellEnd"/>
            <w:r w:rsidR="00CA1D13" w:rsidRPr="00234828">
              <w:rPr>
                <w:shd w:val="clear" w:color="auto" w:fill="FFFFFF"/>
              </w:rPr>
              <w:t xml:space="preserve"> specială a copilului către sistemul de </w:t>
            </w:r>
            <w:proofErr w:type="spellStart"/>
            <w:r w:rsidR="00CA1D13" w:rsidRPr="00234828">
              <w:rPr>
                <w:shd w:val="clear" w:color="auto" w:fill="FFFFFF"/>
              </w:rPr>
              <w:t>protecţie</w:t>
            </w:r>
            <w:proofErr w:type="spellEnd"/>
            <w:r w:rsidR="00CA1D13" w:rsidRPr="00234828">
              <w:rPr>
                <w:shd w:val="clear" w:color="auto" w:fill="FFFFFF"/>
              </w:rPr>
              <w:t xml:space="preserve"> a persoanelor adulte cu </w:t>
            </w:r>
            <w:proofErr w:type="spellStart"/>
            <w:r w:rsidR="00CA1D13" w:rsidRPr="00234828">
              <w:rPr>
                <w:shd w:val="clear" w:color="auto" w:fill="FFFFFF"/>
              </w:rPr>
              <w:t>dizabilităţi</w:t>
            </w:r>
            <w:proofErr w:type="spellEnd"/>
            <w:r w:rsidR="00CA1D13" w:rsidRPr="00234828">
              <w:rPr>
                <w:shd w:val="clear" w:color="auto" w:fill="FFFFFF"/>
              </w:rPr>
              <w:t>"</w:t>
            </w:r>
            <w:r w:rsidR="00CA1D13">
              <w:rPr>
                <w:shd w:val="clear" w:color="auto" w:fill="FFFFFF"/>
              </w:rPr>
              <w:t xml:space="preserve"> </w:t>
            </w:r>
            <w:r>
              <w:rPr>
                <w:shd w:val="clear" w:color="auto" w:fill="FFFFFF"/>
              </w:rPr>
              <w:t xml:space="preserve">aprobat prin </w:t>
            </w:r>
            <w:r w:rsidRPr="00C27E39">
              <w:rPr>
                <w:b/>
                <w:shd w:val="clear" w:color="auto" w:fill="FFFFFF"/>
              </w:rPr>
              <w:t>HG nr. 193/2018</w:t>
            </w:r>
            <w:r w:rsidR="00BE1BE1">
              <w:rPr>
                <w:b/>
                <w:shd w:val="clear" w:color="auto" w:fill="FFFFFF"/>
              </w:rPr>
              <w:t xml:space="preserve">, </w:t>
            </w:r>
            <w:r w:rsidR="007201B1" w:rsidRPr="00C27E39">
              <w:rPr>
                <w:b/>
                <w:shd w:val="clear" w:color="auto" w:fill="FFFFFF"/>
              </w:rPr>
              <w:t xml:space="preserve">modificată prin HG nr. </w:t>
            </w:r>
            <w:r w:rsidR="007201B1">
              <w:rPr>
                <w:b/>
                <w:shd w:val="clear" w:color="auto" w:fill="FFFFFF"/>
              </w:rPr>
              <w:t>317/2019</w:t>
            </w:r>
            <w:r>
              <w:rPr>
                <w:shd w:val="clear" w:color="auto" w:fill="FFFFFF"/>
              </w:rPr>
              <w:t xml:space="preserve">. Ca urmare a derulării celor </w:t>
            </w:r>
            <w:r w:rsidR="00BC142A">
              <w:rPr>
                <w:shd w:val="clear" w:color="auto" w:fill="FFFFFF"/>
              </w:rPr>
              <w:t>șase</w:t>
            </w:r>
            <w:r>
              <w:rPr>
                <w:shd w:val="clear" w:color="auto" w:fill="FFFFFF"/>
              </w:rPr>
              <w:t xml:space="preserve"> sesiuni de selecție publică de proiecte și în urma retragerii unuia dintre proiectele declarate admise, au fost propuse la finanțare </w:t>
            </w:r>
            <w:r w:rsidR="00BC142A">
              <w:rPr>
                <w:shd w:val="clear" w:color="auto" w:fill="FFFFFF"/>
              </w:rPr>
              <w:t xml:space="preserve">16 </w:t>
            </w:r>
            <w:r>
              <w:rPr>
                <w:shd w:val="clear" w:color="auto" w:fill="FFFFFF"/>
              </w:rPr>
              <w:t xml:space="preserve">proiecte prin care se propune înființarea a </w:t>
            </w:r>
            <w:r w:rsidR="00BC142A">
              <w:rPr>
                <w:shd w:val="clear" w:color="auto" w:fill="FFFFFF"/>
              </w:rPr>
              <w:t>42</w:t>
            </w:r>
            <w:r>
              <w:rPr>
                <w:shd w:val="clear" w:color="auto" w:fill="FFFFFF"/>
              </w:rPr>
              <w:t xml:space="preserve"> de locuințe protejate și de </w:t>
            </w:r>
            <w:r w:rsidR="00BC142A">
              <w:rPr>
                <w:shd w:val="clear" w:color="auto" w:fill="FFFFFF"/>
              </w:rPr>
              <w:t>16 centre de zi</w:t>
            </w:r>
            <w:r>
              <w:rPr>
                <w:shd w:val="clear" w:color="auto" w:fill="FFFFFF"/>
              </w:rPr>
              <w:t>.</w:t>
            </w:r>
          </w:p>
          <w:p w:rsidR="00BC142A" w:rsidRDefault="00CA1D13" w:rsidP="00BC142A">
            <w:pPr>
              <w:spacing w:line="276" w:lineRule="auto"/>
              <w:ind w:firstLine="360"/>
              <w:jc w:val="both"/>
              <w:rPr>
                <w:shd w:val="clear" w:color="auto" w:fill="FFFFFF"/>
              </w:rPr>
            </w:pPr>
            <w:r>
              <w:rPr>
                <w:shd w:val="clear" w:color="auto" w:fill="FFFFFF"/>
              </w:rPr>
              <w:t xml:space="preserve">Calendarul de derulare al selecțiilor de proiecte precum și activitățile specifice proiectelor direcțiilor generale de asistență socială și protecția copilului </w:t>
            </w:r>
            <w:r w:rsidR="00041C72">
              <w:rPr>
                <w:shd w:val="clear" w:color="auto" w:fill="FFFFFF"/>
              </w:rPr>
              <w:t xml:space="preserve">au determinat imposibilitatea </w:t>
            </w:r>
            <w:r w:rsidR="00F90623">
              <w:rPr>
                <w:shd w:val="clear" w:color="auto" w:fill="FFFFFF"/>
              </w:rPr>
              <w:t>acces</w:t>
            </w:r>
            <w:r w:rsidR="00041C72">
              <w:rPr>
                <w:shd w:val="clear" w:color="auto" w:fill="FFFFFF"/>
              </w:rPr>
              <w:t>ării sumelor alocate în program pentru anul 201</w:t>
            </w:r>
            <w:r w:rsidR="00BC142A">
              <w:rPr>
                <w:shd w:val="clear" w:color="auto" w:fill="FFFFFF"/>
              </w:rPr>
              <w:t>9 de majoritatea beneficiarilor finanțărilor.</w:t>
            </w:r>
          </w:p>
          <w:p w:rsidR="00BC142A" w:rsidRDefault="00BC142A" w:rsidP="00BC142A">
            <w:pPr>
              <w:spacing w:line="276" w:lineRule="auto"/>
              <w:ind w:firstLine="360"/>
              <w:jc w:val="both"/>
              <w:rPr>
                <w:shd w:val="clear" w:color="auto" w:fill="FFFFFF"/>
              </w:rPr>
            </w:pPr>
            <w:r>
              <w:rPr>
                <w:shd w:val="clear" w:color="auto" w:fill="FFFFFF"/>
              </w:rPr>
              <w:t>De asemenea, beneficiarii finanțărilor au transmis adrese prin care solicită prelungirea perioadei de implementare a proiectelor</w:t>
            </w:r>
            <w:r w:rsidR="000F79AA">
              <w:rPr>
                <w:shd w:val="clear" w:color="auto" w:fill="FFFFFF"/>
              </w:rPr>
              <w:t xml:space="preserve"> </w:t>
            </w:r>
            <w:r>
              <w:rPr>
                <w:shd w:val="clear" w:color="auto" w:fill="FFFFFF"/>
              </w:rPr>
              <w:t xml:space="preserve">cu </w:t>
            </w:r>
            <w:r w:rsidR="007201B1">
              <w:rPr>
                <w:shd w:val="clear" w:color="auto" w:fill="FFFFFF"/>
              </w:rPr>
              <w:t>maxim 12 luni după termenul limită stabilit prin convențiile de finanțare nerambursabilă (30.11.2020).</w:t>
            </w:r>
          </w:p>
          <w:p w:rsidR="000F79AA" w:rsidRDefault="00BC142A" w:rsidP="00BC142A">
            <w:pPr>
              <w:spacing w:line="276" w:lineRule="auto"/>
              <w:ind w:firstLine="360"/>
              <w:jc w:val="both"/>
              <w:rPr>
                <w:shd w:val="clear" w:color="auto" w:fill="FFFFFF"/>
              </w:rPr>
            </w:pPr>
            <w:r>
              <w:rPr>
                <w:shd w:val="clear" w:color="auto" w:fill="FFFFFF"/>
              </w:rPr>
              <w:lastRenderedPageBreak/>
              <w:t xml:space="preserve">Având in vedere aceste aspecte </w:t>
            </w:r>
            <w:r w:rsidR="000F79AA">
              <w:rPr>
                <w:shd w:val="clear" w:color="auto" w:fill="FFFFFF"/>
              </w:rPr>
              <w:t>se impune modificarea</w:t>
            </w:r>
            <w:r w:rsidR="005828AB">
              <w:rPr>
                <w:shd w:val="clear" w:color="auto" w:fill="FFFFFF"/>
              </w:rPr>
              <w:t xml:space="preserve"> perioa</w:t>
            </w:r>
            <w:r w:rsidR="007201B1">
              <w:rPr>
                <w:shd w:val="clear" w:color="auto" w:fill="FFFFFF"/>
              </w:rPr>
              <w:t>dei de derulare a programelor</w:t>
            </w:r>
            <w:r w:rsidR="00041C72">
              <w:rPr>
                <w:shd w:val="clear" w:color="auto" w:fill="FFFFFF"/>
              </w:rPr>
              <w:t xml:space="preserve"> și redistribuirea sumelor pentru perioada 2019-202</w:t>
            </w:r>
            <w:r>
              <w:rPr>
                <w:shd w:val="clear" w:color="auto" w:fill="FFFFFF"/>
              </w:rPr>
              <w:t>1</w:t>
            </w:r>
            <w:r w:rsidR="00041C72">
              <w:rPr>
                <w:shd w:val="clear" w:color="auto" w:fill="FFFFFF"/>
              </w:rPr>
              <w:t>, în funcție de activitățile și bugetele</w:t>
            </w:r>
            <w:r>
              <w:rPr>
                <w:shd w:val="clear" w:color="auto" w:fill="FFFFFF"/>
              </w:rPr>
              <w:t xml:space="preserve"> proiectelor admise la f</w:t>
            </w:r>
            <w:r w:rsidR="00B50241">
              <w:rPr>
                <w:shd w:val="clear" w:color="auto" w:fill="FFFFFF"/>
              </w:rPr>
              <w:t>i</w:t>
            </w:r>
            <w:r>
              <w:rPr>
                <w:shd w:val="clear" w:color="auto" w:fill="FFFFFF"/>
              </w:rPr>
              <w:t>nanțare.</w:t>
            </w:r>
          </w:p>
          <w:p w:rsidR="00252F5E" w:rsidRPr="00680951" w:rsidRDefault="005828AB" w:rsidP="00BD34A9">
            <w:pPr>
              <w:spacing w:line="276" w:lineRule="auto"/>
              <w:jc w:val="both"/>
              <w:rPr>
                <w:shd w:val="clear" w:color="auto" w:fill="FFFFFF"/>
              </w:rPr>
            </w:pPr>
            <w:r>
              <w:rPr>
                <w:shd w:val="clear" w:color="auto" w:fill="FFFFFF"/>
              </w:rPr>
              <w:t xml:space="preserve">     </w:t>
            </w:r>
            <w:r w:rsidR="00B50241" w:rsidRPr="00B50241">
              <w:rPr>
                <w:shd w:val="clear" w:color="auto" w:fill="FFFFFF"/>
              </w:rPr>
              <w:t xml:space="preserve">Concret, modificarea celor două programe implică prelungirea cu un an a perioadei de implementare a proiectelor </w:t>
            </w:r>
            <w:r w:rsidR="00B50241">
              <w:rPr>
                <w:shd w:val="clear" w:color="auto" w:fill="FFFFFF"/>
              </w:rPr>
              <w:t xml:space="preserve">din cadrul PIN </w:t>
            </w:r>
            <w:r w:rsidR="00B50241" w:rsidRPr="00B50241">
              <w:rPr>
                <w:shd w:val="clear" w:color="auto" w:fill="FFFFFF"/>
              </w:rPr>
              <w:t>și o reașezare pe ani a alocării bugetare (cu menținerea valorii totale a alocării pentru fiecare PIN)</w:t>
            </w:r>
            <w:r w:rsidR="00B50241">
              <w:rPr>
                <w:shd w:val="clear" w:color="auto" w:fill="FFFFFF"/>
              </w:rPr>
              <w:t>,</w:t>
            </w:r>
            <w:r w:rsidR="009A5CB8">
              <w:rPr>
                <w:shd w:val="clear" w:color="auto" w:fill="FFFFFF"/>
              </w:rPr>
              <w:t xml:space="preserve"> astfel:</w:t>
            </w:r>
          </w:p>
          <w:tbl>
            <w:tblPr>
              <w:tblStyle w:val="TableGrid"/>
              <w:tblW w:w="10068" w:type="dxa"/>
              <w:tblLayout w:type="fixed"/>
              <w:tblLook w:val="04A0" w:firstRow="1" w:lastRow="0" w:firstColumn="1" w:lastColumn="0" w:noHBand="0" w:noVBand="1"/>
            </w:tblPr>
            <w:tblGrid>
              <w:gridCol w:w="709"/>
              <w:gridCol w:w="1276"/>
              <w:gridCol w:w="1279"/>
              <w:gridCol w:w="1417"/>
              <w:gridCol w:w="1276"/>
              <w:gridCol w:w="1276"/>
              <w:gridCol w:w="1374"/>
              <w:gridCol w:w="1461"/>
            </w:tblGrid>
            <w:tr w:rsidR="007A6C76" w:rsidRPr="00A770FC" w:rsidTr="00CA7710">
              <w:tc>
                <w:tcPr>
                  <w:tcW w:w="709" w:type="dxa"/>
                </w:tcPr>
                <w:p w:rsidR="007A6C76" w:rsidRPr="00A770FC" w:rsidRDefault="007A6C76" w:rsidP="00BD34A9">
                  <w:pPr>
                    <w:spacing w:line="276" w:lineRule="auto"/>
                    <w:jc w:val="both"/>
                    <w:rPr>
                      <w:shd w:val="clear" w:color="auto" w:fill="FFFFFF"/>
                    </w:rPr>
                  </w:pPr>
                </w:p>
              </w:tc>
              <w:tc>
                <w:tcPr>
                  <w:tcW w:w="1276" w:type="dxa"/>
                </w:tcPr>
                <w:p w:rsidR="007A6C76" w:rsidRPr="00A770FC" w:rsidRDefault="007A6C76" w:rsidP="00AB0232">
                  <w:pPr>
                    <w:spacing w:line="276" w:lineRule="auto"/>
                    <w:rPr>
                      <w:shd w:val="clear" w:color="auto" w:fill="FFFFFF"/>
                    </w:rPr>
                  </w:pPr>
                  <w:r w:rsidRPr="00A770FC">
                    <w:rPr>
                      <w:shd w:val="clear" w:color="auto" w:fill="FFFFFF"/>
                    </w:rPr>
                    <w:t xml:space="preserve">HG 798 </w:t>
                  </w:r>
                  <w:proofErr w:type="spellStart"/>
                  <w:r w:rsidRPr="00A770FC">
                    <w:rPr>
                      <w:shd w:val="clear" w:color="auto" w:fill="FFFFFF"/>
                    </w:rPr>
                    <w:t>modif</w:t>
                  </w:r>
                  <w:proofErr w:type="spellEnd"/>
                  <w:r w:rsidRPr="00A770FC">
                    <w:rPr>
                      <w:shd w:val="clear" w:color="auto" w:fill="FFFFFF"/>
                    </w:rPr>
                    <w:t xml:space="preserve"> cu HG 192</w:t>
                  </w:r>
                  <w:r w:rsidR="00AB0232" w:rsidRPr="00A770FC">
                    <w:rPr>
                      <w:shd w:val="clear" w:color="auto" w:fill="FFFFFF"/>
                    </w:rPr>
                    <w:t xml:space="preserve"> și HG 317</w:t>
                  </w:r>
                  <w:r w:rsidR="009A5CB8" w:rsidRPr="00A770FC">
                    <w:rPr>
                      <w:shd w:val="clear" w:color="auto" w:fill="FFFFFF"/>
                    </w:rPr>
                    <w:t xml:space="preserve"> (lei)</w:t>
                  </w:r>
                </w:p>
              </w:tc>
              <w:tc>
                <w:tcPr>
                  <w:tcW w:w="1279" w:type="dxa"/>
                </w:tcPr>
                <w:p w:rsidR="007A6C76" w:rsidRPr="00A770FC" w:rsidRDefault="007A6C76" w:rsidP="00BD34A9">
                  <w:pPr>
                    <w:spacing w:line="276" w:lineRule="auto"/>
                    <w:jc w:val="both"/>
                    <w:rPr>
                      <w:shd w:val="clear" w:color="auto" w:fill="FFFFFF"/>
                    </w:rPr>
                  </w:pPr>
                  <w:r w:rsidRPr="00A770FC">
                    <w:rPr>
                      <w:shd w:val="clear" w:color="auto" w:fill="FFFFFF"/>
                    </w:rPr>
                    <w:t xml:space="preserve">Proiect </w:t>
                  </w:r>
                  <w:proofErr w:type="spellStart"/>
                  <w:r w:rsidRPr="00A770FC">
                    <w:rPr>
                      <w:shd w:val="clear" w:color="auto" w:fill="FFFFFF"/>
                    </w:rPr>
                    <w:t>modif</w:t>
                  </w:r>
                  <w:proofErr w:type="spellEnd"/>
                  <w:r w:rsidRPr="00A770FC">
                    <w:rPr>
                      <w:shd w:val="clear" w:color="auto" w:fill="FFFFFF"/>
                    </w:rPr>
                    <w:t xml:space="preserve"> HG 798</w:t>
                  </w:r>
                </w:p>
                <w:p w:rsidR="009A5CB8" w:rsidRPr="00A770FC" w:rsidRDefault="009A5CB8" w:rsidP="00BD34A9">
                  <w:pPr>
                    <w:spacing w:line="276" w:lineRule="auto"/>
                    <w:jc w:val="both"/>
                    <w:rPr>
                      <w:shd w:val="clear" w:color="auto" w:fill="FFFFFF"/>
                    </w:rPr>
                  </w:pPr>
                  <w:r w:rsidRPr="00A770FC">
                    <w:rPr>
                      <w:shd w:val="clear" w:color="auto" w:fill="FFFFFF"/>
                    </w:rPr>
                    <w:t>(lei)</w:t>
                  </w:r>
                </w:p>
              </w:tc>
              <w:tc>
                <w:tcPr>
                  <w:tcW w:w="1417" w:type="dxa"/>
                </w:tcPr>
                <w:p w:rsidR="007A6C76" w:rsidRPr="00A770FC" w:rsidRDefault="007A6C76" w:rsidP="007A6C76">
                  <w:pPr>
                    <w:spacing w:line="276" w:lineRule="auto"/>
                    <w:jc w:val="center"/>
                    <w:rPr>
                      <w:shd w:val="clear" w:color="auto" w:fill="FFFFFF"/>
                    </w:rPr>
                  </w:pPr>
                  <w:r w:rsidRPr="00A770FC">
                    <w:rPr>
                      <w:shd w:val="clear" w:color="auto" w:fill="FFFFFF"/>
                    </w:rPr>
                    <w:t>+/-</w:t>
                  </w:r>
                </w:p>
                <w:p w:rsidR="009A5CB8" w:rsidRPr="00A770FC" w:rsidRDefault="009A5CB8" w:rsidP="007A6C76">
                  <w:pPr>
                    <w:spacing w:line="276" w:lineRule="auto"/>
                    <w:jc w:val="center"/>
                    <w:rPr>
                      <w:shd w:val="clear" w:color="auto" w:fill="FFFFFF"/>
                    </w:rPr>
                  </w:pPr>
                  <w:r w:rsidRPr="00A770FC">
                    <w:rPr>
                      <w:shd w:val="clear" w:color="auto" w:fill="FFFFFF"/>
                    </w:rPr>
                    <w:t>(lei)</w:t>
                  </w:r>
                </w:p>
              </w:tc>
              <w:tc>
                <w:tcPr>
                  <w:tcW w:w="1276" w:type="dxa"/>
                </w:tcPr>
                <w:p w:rsidR="007A6C76" w:rsidRPr="00A770FC" w:rsidRDefault="007A6C76" w:rsidP="00BD34A9">
                  <w:pPr>
                    <w:spacing w:line="276" w:lineRule="auto"/>
                    <w:jc w:val="both"/>
                    <w:rPr>
                      <w:shd w:val="clear" w:color="auto" w:fill="FFFFFF"/>
                    </w:rPr>
                  </w:pPr>
                  <w:r w:rsidRPr="00A770FC">
                    <w:rPr>
                      <w:shd w:val="clear" w:color="auto" w:fill="FFFFFF"/>
                    </w:rPr>
                    <w:t>HG 193</w:t>
                  </w:r>
                  <w:r w:rsidR="00AB0232" w:rsidRPr="00A770FC">
                    <w:rPr>
                      <w:shd w:val="clear" w:color="auto" w:fill="FFFFFF"/>
                    </w:rPr>
                    <w:t xml:space="preserve"> </w:t>
                  </w:r>
                  <w:proofErr w:type="spellStart"/>
                  <w:r w:rsidR="00AB0232" w:rsidRPr="00A770FC">
                    <w:rPr>
                      <w:shd w:val="clear" w:color="auto" w:fill="FFFFFF"/>
                    </w:rPr>
                    <w:t>modif</w:t>
                  </w:r>
                  <w:proofErr w:type="spellEnd"/>
                  <w:r w:rsidR="00AB0232" w:rsidRPr="00A770FC">
                    <w:rPr>
                      <w:shd w:val="clear" w:color="auto" w:fill="FFFFFF"/>
                    </w:rPr>
                    <w:t xml:space="preserve"> cu HG 317</w:t>
                  </w:r>
                </w:p>
                <w:p w:rsidR="009A5CB8" w:rsidRPr="00A770FC" w:rsidRDefault="009A5CB8" w:rsidP="00BD34A9">
                  <w:pPr>
                    <w:spacing w:line="276" w:lineRule="auto"/>
                    <w:jc w:val="both"/>
                    <w:rPr>
                      <w:shd w:val="clear" w:color="auto" w:fill="FFFFFF"/>
                    </w:rPr>
                  </w:pPr>
                  <w:r w:rsidRPr="00A770FC">
                    <w:rPr>
                      <w:shd w:val="clear" w:color="auto" w:fill="FFFFFF"/>
                    </w:rPr>
                    <w:t>(lei)</w:t>
                  </w:r>
                </w:p>
              </w:tc>
              <w:tc>
                <w:tcPr>
                  <w:tcW w:w="1276" w:type="dxa"/>
                </w:tcPr>
                <w:p w:rsidR="007A6C76" w:rsidRPr="00A770FC" w:rsidRDefault="007A6C76" w:rsidP="00BD34A9">
                  <w:pPr>
                    <w:spacing w:line="276" w:lineRule="auto"/>
                    <w:jc w:val="both"/>
                    <w:rPr>
                      <w:shd w:val="clear" w:color="auto" w:fill="FFFFFF"/>
                    </w:rPr>
                  </w:pPr>
                  <w:r w:rsidRPr="00A770FC">
                    <w:rPr>
                      <w:shd w:val="clear" w:color="auto" w:fill="FFFFFF"/>
                    </w:rPr>
                    <w:t xml:space="preserve">Proiect </w:t>
                  </w:r>
                  <w:proofErr w:type="spellStart"/>
                  <w:r w:rsidRPr="00A770FC">
                    <w:rPr>
                      <w:shd w:val="clear" w:color="auto" w:fill="FFFFFF"/>
                    </w:rPr>
                    <w:t>modif</w:t>
                  </w:r>
                  <w:proofErr w:type="spellEnd"/>
                  <w:r w:rsidRPr="00A770FC">
                    <w:rPr>
                      <w:shd w:val="clear" w:color="auto" w:fill="FFFFFF"/>
                    </w:rPr>
                    <w:t xml:space="preserve"> HG 193</w:t>
                  </w:r>
                </w:p>
                <w:p w:rsidR="009A5CB8" w:rsidRPr="00A770FC" w:rsidRDefault="009A5CB8" w:rsidP="00BD34A9">
                  <w:pPr>
                    <w:spacing w:line="276" w:lineRule="auto"/>
                    <w:jc w:val="both"/>
                    <w:rPr>
                      <w:shd w:val="clear" w:color="auto" w:fill="FFFFFF"/>
                    </w:rPr>
                  </w:pPr>
                  <w:r w:rsidRPr="00A770FC">
                    <w:rPr>
                      <w:shd w:val="clear" w:color="auto" w:fill="FFFFFF"/>
                    </w:rPr>
                    <w:t>(lei)</w:t>
                  </w:r>
                </w:p>
              </w:tc>
              <w:tc>
                <w:tcPr>
                  <w:tcW w:w="1374" w:type="dxa"/>
                </w:tcPr>
                <w:p w:rsidR="007A6C76" w:rsidRPr="00A770FC" w:rsidRDefault="007A6C76" w:rsidP="007A6C76">
                  <w:pPr>
                    <w:spacing w:line="276" w:lineRule="auto"/>
                    <w:jc w:val="center"/>
                    <w:rPr>
                      <w:shd w:val="clear" w:color="auto" w:fill="FFFFFF"/>
                    </w:rPr>
                  </w:pPr>
                  <w:r w:rsidRPr="00A770FC">
                    <w:rPr>
                      <w:shd w:val="clear" w:color="auto" w:fill="FFFFFF"/>
                    </w:rPr>
                    <w:t>+/-</w:t>
                  </w:r>
                </w:p>
                <w:p w:rsidR="009A5CB8" w:rsidRPr="00A770FC" w:rsidRDefault="009A5CB8" w:rsidP="007A6C76">
                  <w:pPr>
                    <w:spacing w:line="276" w:lineRule="auto"/>
                    <w:jc w:val="center"/>
                    <w:rPr>
                      <w:shd w:val="clear" w:color="auto" w:fill="FFFFFF"/>
                    </w:rPr>
                  </w:pPr>
                  <w:r w:rsidRPr="00A770FC">
                    <w:rPr>
                      <w:shd w:val="clear" w:color="auto" w:fill="FFFFFF"/>
                    </w:rPr>
                    <w:t>(lei)</w:t>
                  </w:r>
                </w:p>
                <w:p w:rsidR="009A5CB8" w:rsidRPr="00A770FC" w:rsidRDefault="009A5CB8" w:rsidP="007A6C76">
                  <w:pPr>
                    <w:spacing w:line="276" w:lineRule="auto"/>
                    <w:jc w:val="center"/>
                    <w:rPr>
                      <w:shd w:val="clear" w:color="auto" w:fill="FFFFFF"/>
                    </w:rPr>
                  </w:pPr>
                </w:p>
                <w:p w:rsidR="009A5CB8" w:rsidRPr="00A770FC" w:rsidRDefault="009A5CB8" w:rsidP="009A5CB8">
                  <w:pPr>
                    <w:spacing w:line="276" w:lineRule="auto"/>
                    <w:rPr>
                      <w:shd w:val="clear" w:color="auto" w:fill="FFFFFF"/>
                    </w:rPr>
                  </w:pPr>
                </w:p>
              </w:tc>
              <w:tc>
                <w:tcPr>
                  <w:tcW w:w="1461" w:type="dxa"/>
                </w:tcPr>
                <w:p w:rsidR="007A6C76" w:rsidRPr="00A770FC" w:rsidRDefault="007A6C76" w:rsidP="00BD34A9">
                  <w:pPr>
                    <w:spacing w:line="276" w:lineRule="auto"/>
                    <w:jc w:val="both"/>
                    <w:rPr>
                      <w:shd w:val="clear" w:color="auto" w:fill="FFFFFF"/>
                    </w:rPr>
                  </w:pPr>
                  <w:r w:rsidRPr="00A770FC">
                    <w:rPr>
                      <w:shd w:val="clear" w:color="auto" w:fill="FFFFFF"/>
                    </w:rPr>
                    <w:t xml:space="preserve">+/- </w:t>
                  </w:r>
                </w:p>
                <w:p w:rsidR="007A6C76" w:rsidRPr="00A770FC" w:rsidRDefault="007A6C76" w:rsidP="00CA7710">
                  <w:pPr>
                    <w:spacing w:line="276" w:lineRule="auto"/>
                    <w:rPr>
                      <w:shd w:val="clear" w:color="auto" w:fill="FFFFFF"/>
                    </w:rPr>
                  </w:pPr>
                  <w:r w:rsidRPr="00A770FC">
                    <w:rPr>
                      <w:shd w:val="clear" w:color="auto" w:fill="FFFFFF"/>
                    </w:rPr>
                    <w:t>HG 798 si HG 193</w:t>
                  </w:r>
                </w:p>
                <w:p w:rsidR="009A5CB8" w:rsidRPr="00A770FC" w:rsidRDefault="009A5CB8" w:rsidP="00CA7710">
                  <w:pPr>
                    <w:spacing w:line="276" w:lineRule="auto"/>
                    <w:rPr>
                      <w:shd w:val="clear" w:color="auto" w:fill="FFFFFF"/>
                    </w:rPr>
                  </w:pPr>
                  <w:r w:rsidRPr="00A770FC">
                    <w:rPr>
                      <w:shd w:val="clear" w:color="auto" w:fill="FFFFFF"/>
                    </w:rPr>
                    <w:t>(lei)</w:t>
                  </w:r>
                </w:p>
              </w:tc>
            </w:tr>
            <w:tr w:rsidR="007A6C76" w:rsidRPr="00A770FC" w:rsidTr="00CA7710">
              <w:tc>
                <w:tcPr>
                  <w:tcW w:w="709" w:type="dxa"/>
                </w:tcPr>
                <w:p w:rsidR="007A6C76" w:rsidRPr="00CA7710" w:rsidRDefault="007A6C76" w:rsidP="007A6C76">
                  <w:pPr>
                    <w:spacing w:line="276" w:lineRule="auto"/>
                    <w:jc w:val="center"/>
                    <w:rPr>
                      <w:shd w:val="clear" w:color="auto" w:fill="FFFFFF"/>
                    </w:rPr>
                  </w:pPr>
                  <w:r w:rsidRPr="00CA7710">
                    <w:rPr>
                      <w:shd w:val="clear" w:color="auto" w:fill="FFFFFF"/>
                    </w:rPr>
                    <w:t>2018</w:t>
                  </w:r>
                </w:p>
              </w:tc>
              <w:tc>
                <w:tcPr>
                  <w:tcW w:w="1276" w:type="dxa"/>
                  <w:vAlign w:val="bottom"/>
                </w:tcPr>
                <w:p w:rsidR="007A6C76" w:rsidRPr="00CA7710" w:rsidRDefault="00A770FC" w:rsidP="007A6C76">
                  <w:pPr>
                    <w:spacing w:line="276" w:lineRule="auto"/>
                    <w:jc w:val="center"/>
                    <w:rPr>
                      <w:shd w:val="clear" w:color="auto" w:fill="FFFFFF"/>
                    </w:rPr>
                  </w:pPr>
                  <w:r w:rsidRPr="00CA7710">
                    <w:rPr>
                      <w:color w:val="000000"/>
                      <w:sz w:val="22"/>
                      <w:szCs w:val="22"/>
                    </w:rPr>
                    <w:t>0</w:t>
                  </w:r>
                </w:p>
              </w:tc>
              <w:tc>
                <w:tcPr>
                  <w:tcW w:w="1279" w:type="dxa"/>
                  <w:vAlign w:val="bottom"/>
                </w:tcPr>
                <w:p w:rsidR="007A6C76" w:rsidRPr="00CA7710" w:rsidRDefault="007A6C76" w:rsidP="007A6C76">
                  <w:pPr>
                    <w:spacing w:line="276" w:lineRule="auto"/>
                    <w:jc w:val="center"/>
                    <w:rPr>
                      <w:shd w:val="clear" w:color="auto" w:fill="FFFFFF"/>
                    </w:rPr>
                  </w:pPr>
                  <w:r w:rsidRPr="00CA7710">
                    <w:rPr>
                      <w:color w:val="000000"/>
                      <w:sz w:val="22"/>
                      <w:szCs w:val="22"/>
                    </w:rPr>
                    <w:t>0</w:t>
                  </w:r>
                </w:p>
              </w:tc>
              <w:tc>
                <w:tcPr>
                  <w:tcW w:w="1417" w:type="dxa"/>
                  <w:vAlign w:val="bottom"/>
                </w:tcPr>
                <w:p w:rsidR="007A6C76" w:rsidRPr="00CA7710" w:rsidRDefault="00A770FC" w:rsidP="007A6C76">
                  <w:pPr>
                    <w:spacing w:line="276" w:lineRule="auto"/>
                    <w:jc w:val="center"/>
                    <w:rPr>
                      <w:color w:val="000000"/>
                      <w:sz w:val="22"/>
                      <w:szCs w:val="22"/>
                    </w:rPr>
                  </w:pPr>
                  <w:r w:rsidRPr="00CA7710">
                    <w:rPr>
                      <w:color w:val="000000"/>
                      <w:sz w:val="22"/>
                      <w:szCs w:val="22"/>
                    </w:rPr>
                    <w:t>0</w:t>
                  </w:r>
                </w:p>
              </w:tc>
              <w:tc>
                <w:tcPr>
                  <w:tcW w:w="1276" w:type="dxa"/>
                  <w:vAlign w:val="bottom"/>
                </w:tcPr>
                <w:p w:rsidR="007A6C76" w:rsidRPr="00CA7710" w:rsidRDefault="00A770FC" w:rsidP="00A770FC">
                  <w:pPr>
                    <w:spacing w:line="276" w:lineRule="auto"/>
                    <w:jc w:val="center"/>
                    <w:rPr>
                      <w:shd w:val="clear" w:color="auto" w:fill="FFFFFF"/>
                    </w:rPr>
                  </w:pPr>
                  <w:r w:rsidRPr="00CA7710">
                    <w:rPr>
                      <w:color w:val="000000"/>
                      <w:sz w:val="22"/>
                      <w:szCs w:val="22"/>
                    </w:rPr>
                    <w:t>0</w:t>
                  </w:r>
                </w:p>
              </w:tc>
              <w:tc>
                <w:tcPr>
                  <w:tcW w:w="1276" w:type="dxa"/>
                  <w:vAlign w:val="bottom"/>
                </w:tcPr>
                <w:p w:rsidR="007A6C76" w:rsidRPr="00CA7710" w:rsidRDefault="007A6C76" w:rsidP="007A6C76">
                  <w:pPr>
                    <w:spacing w:line="276" w:lineRule="auto"/>
                    <w:jc w:val="center"/>
                    <w:rPr>
                      <w:shd w:val="clear" w:color="auto" w:fill="FFFFFF"/>
                    </w:rPr>
                  </w:pPr>
                  <w:r w:rsidRPr="00CA7710">
                    <w:rPr>
                      <w:color w:val="000000"/>
                      <w:sz w:val="22"/>
                      <w:szCs w:val="22"/>
                    </w:rPr>
                    <w:t>0</w:t>
                  </w:r>
                </w:p>
              </w:tc>
              <w:tc>
                <w:tcPr>
                  <w:tcW w:w="1374" w:type="dxa"/>
                  <w:vAlign w:val="bottom"/>
                </w:tcPr>
                <w:p w:rsidR="007A6C76" w:rsidRPr="00CA7710" w:rsidRDefault="006B333E" w:rsidP="007A6C76">
                  <w:pPr>
                    <w:spacing w:line="276" w:lineRule="auto"/>
                    <w:jc w:val="center"/>
                    <w:rPr>
                      <w:shd w:val="clear" w:color="auto" w:fill="FFFFFF"/>
                    </w:rPr>
                  </w:pPr>
                  <w:r w:rsidRPr="00CA7710">
                    <w:rPr>
                      <w:color w:val="000000"/>
                      <w:sz w:val="22"/>
                      <w:szCs w:val="22"/>
                    </w:rPr>
                    <w:t>0</w:t>
                  </w:r>
                </w:p>
              </w:tc>
              <w:tc>
                <w:tcPr>
                  <w:tcW w:w="1461" w:type="dxa"/>
                  <w:vAlign w:val="bottom"/>
                </w:tcPr>
                <w:p w:rsidR="007A6C76" w:rsidRPr="00CA7710" w:rsidRDefault="006B333E" w:rsidP="007A6C76">
                  <w:pPr>
                    <w:spacing w:line="276" w:lineRule="auto"/>
                    <w:jc w:val="center"/>
                    <w:rPr>
                      <w:shd w:val="clear" w:color="auto" w:fill="FFFFFF"/>
                    </w:rPr>
                  </w:pPr>
                  <w:r w:rsidRPr="00CA7710">
                    <w:rPr>
                      <w:color w:val="000000"/>
                      <w:sz w:val="22"/>
                      <w:szCs w:val="22"/>
                    </w:rPr>
                    <w:t>0</w:t>
                  </w:r>
                </w:p>
              </w:tc>
            </w:tr>
            <w:tr w:rsidR="00A770FC" w:rsidRPr="00A770FC" w:rsidTr="00CA7710">
              <w:tc>
                <w:tcPr>
                  <w:tcW w:w="709" w:type="dxa"/>
                </w:tcPr>
                <w:p w:rsidR="00A770FC" w:rsidRPr="00CA7710" w:rsidRDefault="00A770FC" w:rsidP="00A770FC">
                  <w:pPr>
                    <w:spacing w:line="276" w:lineRule="auto"/>
                    <w:jc w:val="center"/>
                    <w:rPr>
                      <w:shd w:val="clear" w:color="auto" w:fill="FFFFFF"/>
                    </w:rPr>
                  </w:pPr>
                  <w:r w:rsidRPr="00CA7710">
                    <w:rPr>
                      <w:shd w:val="clear" w:color="auto" w:fill="FFFFFF"/>
                    </w:rPr>
                    <w:t>2019</w:t>
                  </w:r>
                </w:p>
              </w:tc>
              <w:tc>
                <w:tcPr>
                  <w:tcW w:w="1276" w:type="dxa"/>
                  <w:vAlign w:val="bottom"/>
                </w:tcPr>
                <w:p w:rsidR="00A770FC" w:rsidRPr="00CA7710" w:rsidRDefault="00A770FC" w:rsidP="00A770FC">
                  <w:pPr>
                    <w:spacing w:line="276" w:lineRule="auto"/>
                    <w:jc w:val="center"/>
                    <w:rPr>
                      <w:sz w:val="22"/>
                      <w:szCs w:val="22"/>
                      <w:shd w:val="clear" w:color="auto" w:fill="FFFFFF"/>
                    </w:rPr>
                  </w:pPr>
                  <w:r w:rsidRPr="00CA7710">
                    <w:rPr>
                      <w:color w:val="000000"/>
                      <w:sz w:val="22"/>
                      <w:szCs w:val="22"/>
                    </w:rPr>
                    <w:t>31.936.000</w:t>
                  </w:r>
                </w:p>
              </w:tc>
              <w:tc>
                <w:tcPr>
                  <w:tcW w:w="1279" w:type="dxa"/>
                  <w:vAlign w:val="bottom"/>
                </w:tcPr>
                <w:p w:rsidR="00A770FC" w:rsidRPr="00CA7710" w:rsidRDefault="00CA7710" w:rsidP="00A770FC">
                  <w:pPr>
                    <w:spacing w:line="276" w:lineRule="auto"/>
                    <w:jc w:val="center"/>
                    <w:rPr>
                      <w:sz w:val="22"/>
                      <w:szCs w:val="22"/>
                      <w:shd w:val="clear" w:color="auto" w:fill="FFFFFF"/>
                    </w:rPr>
                  </w:pPr>
                  <w:r w:rsidRPr="00CA7710">
                    <w:rPr>
                      <w:sz w:val="22"/>
                      <w:szCs w:val="22"/>
                      <w:shd w:val="clear" w:color="auto" w:fill="FFFFFF"/>
                    </w:rPr>
                    <w:t>1.505.000</w:t>
                  </w:r>
                </w:p>
              </w:tc>
              <w:tc>
                <w:tcPr>
                  <w:tcW w:w="1417" w:type="dxa"/>
                  <w:vAlign w:val="bottom"/>
                </w:tcPr>
                <w:p w:rsidR="00A770FC" w:rsidRPr="00CA7710" w:rsidRDefault="00CA7710" w:rsidP="00A770FC">
                  <w:pPr>
                    <w:spacing w:line="276" w:lineRule="auto"/>
                    <w:jc w:val="center"/>
                    <w:rPr>
                      <w:color w:val="000000"/>
                      <w:sz w:val="22"/>
                      <w:szCs w:val="22"/>
                    </w:rPr>
                  </w:pPr>
                  <w:r w:rsidRPr="00CA7710">
                    <w:rPr>
                      <w:color w:val="000000"/>
                      <w:sz w:val="22"/>
                      <w:szCs w:val="22"/>
                    </w:rPr>
                    <w:t>-30.431</w:t>
                  </w:r>
                  <w:r w:rsidR="00A770FC" w:rsidRPr="00CA7710">
                    <w:rPr>
                      <w:color w:val="000000"/>
                      <w:sz w:val="22"/>
                      <w:szCs w:val="22"/>
                    </w:rPr>
                    <w:t>.000</w:t>
                  </w:r>
                </w:p>
              </w:tc>
              <w:tc>
                <w:tcPr>
                  <w:tcW w:w="1276" w:type="dxa"/>
                  <w:vAlign w:val="bottom"/>
                </w:tcPr>
                <w:p w:rsidR="00A770FC" w:rsidRPr="00CA7710" w:rsidRDefault="00A770FC" w:rsidP="00A770FC">
                  <w:pPr>
                    <w:spacing w:line="276" w:lineRule="auto"/>
                    <w:jc w:val="center"/>
                    <w:rPr>
                      <w:shd w:val="clear" w:color="auto" w:fill="FFFFFF"/>
                    </w:rPr>
                  </w:pPr>
                  <w:r w:rsidRPr="00CA7710">
                    <w:rPr>
                      <w:color w:val="000000"/>
                      <w:sz w:val="22"/>
                      <w:szCs w:val="22"/>
                    </w:rPr>
                    <w:t>14.418.000</w:t>
                  </w:r>
                </w:p>
              </w:tc>
              <w:tc>
                <w:tcPr>
                  <w:tcW w:w="1276" w:type="dxa"/>
                  <w:vAlign w:val="bottom"/>
                </w:tcPr>
                <w:p w:rsidR="00A770FC" w:rsidRPr="00CA7710" w:rsidRDefault="006B333E" w:rsidP="00A770FC">
                  <w:pPr>
                    <w:spacing w:line="276" w:lineRule="auto"/>
                    <w:jc w:val="center"/>
                    <w:rPr>
                      <w:sz w:val="22"/>
                      <w:szCs w:val="22"/>
                      <w:shd w:val="clear" w:color="auto" w:fill="FFFFFF"/>
                    </w:rPr>
                  </w:pPr>
                  <w:r w:rsidRPr="00CA7710">
                    <w:rPr>
                      <w:sz w:val="22"/>
                      <w:szCs w:val="22"/>
                      <w:shd w:val="clear" w:color="auto" w:fill="FFFFFF"/>
                    </w:rPr>
                    <w:t>0</w:t>
                  </w:r>
                </w:p>
              </w:tc>
              <w:tc>
                <w:tcPr>
                  <w:tcW w:w="1374" w:type="dxa"/>
                  <w:vAlign w:val="bottom"/>
                </w:tcPr>
                <w:p w:rsidR="00A770FC" w:rsidRPr="00CA7710" w:rsidRDefault="00A770FC" w:rsidP="006B333E">
                  <w:pPr>
                    <w:spacing w:line="276" w:lineRule="auto"/>
                    <w:jc w:val="center"/>
                    <w:rPr>
                      <w:sz w:val="22"/>
                      <w:szCs w:val="22"/>
                      <w:shd w:val="clear" w:color="auto" w:fill="FFFFFF"/>
                    </w:rPr>
                  </w:pPr>
                  <w:r w:rsidRPr="00CA7710">
                    <w:rPr>
                      <w:color w:val="000000"/>
                      <w:sz w:val="22"/>
                      <w:szCs w:val="22"/>
                    </w:rPr>
                    <w:t>-</w:t>
                  </w:r>
                  <w:r w:rsidR="006B333E" w:rsidRPr="00CA7710">
                    <w:rPr>
                      <w:color w:val="000000"/>
                      <w:sz w:val="22"/>
                      <w:szCs w:val="22"/>
                    </w:rPr>
                    <w:t>14.418.000</w:t>
                  </w:r>
                </w:p>
              </w:tc>
              <w:tc>
                <w:tcPr>
                  <w:tcW w:w="1461" w:type="dxa"/>
                  <w:vAlign w:val="bottom"/>
                </w:tcPr>
                <w:p w:rsidR="00A770FC" w:rsidRPr="00CA7710" w:rsidRDefault="00A770FC" w:rsidP="00CA7710">
                  <w:pPr>
                    <w:spacing w:line="276" w:lineRule="auto"/>
                    <w:jc w:val="center"/>
                    <w:rPr>
                      <w:shd w:val="clear" w:color="auto" w:fill="FFFFFF"/>
                    </w:rPr>
                  </w:pPr>
                  <w:r w:rsidRPr="00CA7710">
                    <w:rPr>
                      <w:color w:val="000000"/>
                      <w:sz w:val="22"/>
                      <w:szCs w:val="22"/>
                    </w:rPr>
                    <w:t>-</w:t>
                  </w:r>
                  <w:r w:rsidR="00CA7710" w:rsidRPr="00CA7710">
                    <w:rPr>
                      <w:color w:val="000000"/>
                      <w:sz w:val="22"/>
                      <w:szCs w:val="22"/>
                    </w:rPr>
                    <w:t xml:space="preserve"> 44.849.</w:t>
                  </w:r>
                  <w:r w:rsidRPr="00CA7710">
                    <w:rPr>
                      <w:color w:val="000000"/>
                      <w:sz w:val="22"/>
                      <w:szCs w:val="22"/>
                    </w:rPr>
                    <w:t>000</w:t>
                  </w:r>
                </w:p>
              </w:tc>
            </w:tr>
            <w:tr w:rsidR="00A770FC" w:rsidRPr="00A770FC" w:rsidTr="00CA7710">
              <w:tc>
                <w:tcPr>
                  <w:tcW w:w="709" w:type="dxa"/>
                </w:tcPr>
                <w:p w:rsidR="00A770FC" w:rsidRPr="00CA7710" w:rsidRDefault="00A770FC" w:rsidP="00A770FC">
                  <w:pPr>
                    <w:spacing w:line="276" w:lineRule="auto"/>
                    <w:jc w:val="center"/>
                    <w:rPr>
                      <w:shd w:val="clear" w:color="auto" w:fill="FFFFFF"/>
                    </w:rPr>
                  </w:pPr>
                  <w:r w:rsidRPr="00CA7710">
                    <w:rPr>
                      <w:shd w:val="clear" w:color="auto" w:fill="FFFFFF"/>
                    </w:rPr>
                    <w:t>2020</w:t>
                  </w:r>
                </w:p>
              </w:tc>
              <w:tc>
                <w:tcPr>
                  <w:tcW w:w="1276" w:type="dxa"/>
                  <w:vAlign w:val="bottom"/>
                </w:tcPr>
                <w:p w:rsidR="00A770FC" w:rsidRPr="00CA7710" w:rsidRDefault="00A770FC" w:rsidP="00A770FC">
                  <w:pPr>
                    <w:spacing w:line="276" w:lineRule="auto"/>
                    <w:jc w:val="center"/>
                    <w:rPr>
                      <w:sz w:val="22"/>
                      <w:szCs w:val="22"/>
                      <w:shd w:val="clear" w:color="auto" w:fill="FFFFFF"/>
                    </w:rPr>
                  </w:pPr>
                  <w:r w:rsidRPr="00CA7710">
                    <w:rPr>
                      <w:color w:val="000000"/>
                      <w:sz w:val="22"/>
                      <w:szCs w:val="22"/>
                    </w:rPr>
                    <w:t>42.571.000</w:t>
                  </w:r>
                </w:p>
              </w:tc>
              <w:tc>
                <w:tcPr>
                  <w:tcW w:w="1279" w:type="dxa"/>
                  <w:vAlign w:val="bottom"/>
                </w:tcPr>
                <w:p w:rsidR="00A770FC" w:rsidRPr="00CA7710" w:rsidRDefault="00CA7710" w:rsidP="00A770FC">
                  <w:pPr>
                    <w:spacing w:line="276" w:lineRule="auto"/>
                    <w:jc w:val="center"/>
                    <w:rPr>
                      <w:sz w:val="22"/>
                      <w:szCs w:val="22"/>
                      <w:shd w:val="clear" w:color="auto" w:fill="FFFFFF"/>
                    </w:rPr>
                  </w:pPr>
                  <w:r w:rsidRPr="00CA7710">
                    <w:rPr>
                      <w:sz w:val="22"/>
                      <w:szCs w:val="22"/>
                      <w:shd w:val="clear" w:color="auto" w:fill="FFFFFF"/>
                    </w:rPr>
                    <w:t>39.200.000</w:t>
                  </w:r>
                </w:p>
              </w:tc>
              <w:tc>
                <w:tcPr>
                  <w:tcW w:w="1417" w:type="dxa"/>
                  <w:vAlign w:val="bottom"/>
                </w:tcPr>
                <w:p w:rsidR="00A770FC" w:rsidRPr="00CA7710" w:rsidRDefault="00CA7710" w:rsidP="00A770FC">
                  <w:pPr>
                    <w:spacing w:line="276" w:lineRule="auto"/>
                    <w:jc w:val="center"/>
                    <w:rPr>
                      <w:color w:val="000000"/>
                      <w:sz w:val="22"/>
                      <w:szCs w:val="22"/>
                    </w:rPr>
                  </w:pPr>
                  <w:r w:rsidRPr="00CA7710">
                    <w:rPr>
                      <w:color w:val="000000"/>
                      <w:sz w:val="22"/>
                      <w:szCs w:val="22"/>
                    </w:rPr>
                    <w:t>-3.371.000</w:t>
                  </w:r>
                </w:p>
              </w:tc>
              <w:tc>
                <w:tcPr>
                  <w:tcW w:w="1276" w:type="dxa"/>
                  <w:vAlign w:val="bottom"/>
                </w:tcPr>
                <w:p w:rsidR="00A770FC" w:rsidRPr="00CA7710" w:rsidRDefault="00A770FC" w:rsidP="00A770FC">
                  <w:pPr>
                    <w:spacing w:line="276" w:lineRule="auto"/>
                    <w:jc w:val="center"/>
                    <w:rPr>
                      <w:shd w:val="clear" w:color="auto" w:fill="FFFFFF"/>
                    </w:rPr>
                  </w:pPr>
                  <w:r w:rsidRPr="00CA7710">
                    <w:rPr>
                      <w:color w:val="000000"/>
                      <w:sz w:val="22"/>
                      <w:szCs w:val="22"/>
                    </w:rPr>
                    <w:t>20.360.000</w:t>
                  </w:r>
                </w:p>
              </w:tc>
              <w:tc>
                <w:tcPr>
                  <w:tcW w:w="1276" w:type="dxa"/>
                  <w:vAlign w:val="bottom"/>
                </w:tcPr>
                <w:p w:rsidR="00A770FC" w:rsidRPr="00CA7710" w:rsidRDefault="00D30831" w:rsidP="00D30831">
                  <w:pPr>
                    <w:spacing w:line="276" w:lineRule="auto"/>
                    <w:jc w:val="center"/>
                    <w:rPr>
                      <w:sz w:val="22"/>
                      <w:szCs w:val="22"/>
                      <w:shd w:val="clear" w:color="auto" w:fill="FFFFFF"/>
                    </w:rPr>
                  </w:pPr>
                  <w:r w:rsidRPr="00CA7710">
                    <w:rPr>
                      <w:sz w:val="22"/>
                      <w:szCs w:val="22"/>
                      <w:shd w:val="clear" w:color="auto" w:fill="FFFFFF"/>
                    </w:rPr>
                    <w:t>17.300.000</w:t>
                  </w:r>
                </w:p>
              </w:tc>
              <w:tc>
                <w:tcPr>
                  <w:tcW w:w="1374" w:type="dxa"/>
                  <w:vAlign w:val="bottom"/>
                </w:tcPr>
                <w:p w:rsidR="00A770FC" w:rsidRPr="00CA7710" w:rsidRDefault="00D30831" w:rsidP="00A770FC">
                  <w:pPr>
                    <w:spacing w:line="276" w:lineRule="auto"/>
                    <w:jc w:val="center"/>
                    <w:rPr>
                      <w:sz w:val="22"/>
                      <w:szCs w:val="22"/>
                      <w:shd w:val="clear" w:color="auto" w:fill="FFFFFF"/>
                    </w:rPr>
                  </w:pPr>
                  <w:r w:rsidRPr="00CA7710">
                    <w:rPr>
                      <w:color w:val="000000"/>
                      <w:sz w:val="22"/>
                      <w:szCs w:val="22"/>
                    </w:rPr>
                    <w:t>-3.060.000</w:t>
                  </w:r>
                </w:p>
              </w:tc>
              <w:tc>
                <w:tcPr>
                  <w:tcW w:w="1461" w:type="dxa"/>
                  <w:vAlign w:val="bottom"/>
                </w:tcPr>
                <w:p w:rsidR="00A770FC" w:rsidRPr="00CA7710" w:rsidRDefault="00CA7710" w:rsidP="00A770FC">
                  <w:pPr>
                    <w:spacing w:line="276" w:lineRule="auto"/>
                    <w:jc w:val="center"/>
                    <w:rPr>
                      <w:shd w:val="clear" w:color="auto" w:fill="FFFFFF"/>
                    </w:rPr>
                  </w:pPr>
                  <w:r w:rsidRPr="00CA7710">
                    <w:rPr>
                      <w:color w:val="000000"/>
                      <w:sz w:val="22"/>
                      <w:szCs w:val="22"/>
                    </w:rPr>
                    <w:t>-6.431</w:t>
                  </w:r>
                  <w:r w:rsidR="00A770FC" w:rsidRPr="00CA7710">
                    <w:rPr>
                      <w:color w:val="000000"/>
                      <w:sz w:val="22"/>
                      <w:szCs w:val="22"/>
                    </w:rPr>
                    <w:t>.000</w:t>
                  </w:r>
                </w:p>
              </w:tc>
            </w:tr>
            <w:tr w:rsidR="00283BB4" w:rsidRPr="00A770FC" w:rsidTr="00CA7710">
              <w:tc>
                <w:tcPr>
                  <w:tcW w:w="709" w:type="dxa"/>
                </w:tcPr>
                <w:p w:rsidR="00283BB4" w:rsidRPr="00CA7710" w:rsidRDefault="00A770FC" w:rsidP="007A6C76">
                  <w:pPr>
                    <w:spacing w:line="276" w:lineRule="auto"/>
                    <w:jc w:val="center"/>
                    <w:rPr>
                      <w:shd w:val="clear" w:color="auto" w:fill="FFFFFF"/>
                    </w:rPr>
                  </w:pPr>
                  <w:r w:rsidRPr="00CA7710">
                    <w:rPr>
                      <w:shd w:val="clear" w:color="auto" w:fill="FFFFFF"/>
                    </w:rPr>
                    <w:t>2021</w:t>
                  </w:r>
                </w:p>
              </w:tc>
              <w:tc>
                <w:tcPr>
                  <w:tcW w:w="1276" w:type="dxa"/>
                  <w:vAlign w:val="bottom"/>
                </w:tcPr>
                <w:p w:rsidR="00283BB4" w:rsidRPr="00CA7710" w:rsidRDefault="00283BB4" w:rsidP="007A6C76">
                  <w:pPr>
                    <w:spacing w:line="276" w:lineRule="auto"/>
                    <w:jc w:val="center"/>
                    <w:rPr>
                      <w:color w:val="000000"/>
                      <w:sz w:val="22"/>
                      <w:szCs w:val="22"/>
                    </w:rPr>
                  </w:pPr>
                </w:p>
              </w:tc>
              <w:tc>
                <w:tcPr>
                  <w:tcW w:w="1279" w:type="dxa"/>
                  <w:vAlign w:val="bottom"/>
                </w:tcPr>
                <w:p w:rsidR="00283BB4" w:rsidRPr="00CA7710" w:rsidRDefault="00CA7710" w:rsidP="007A6C76">
                  <w:pPr>
                    <w:spacing w:line="276" w:lineRule="auto"/>
                    <w:jc w:val="center"/>
                    <w:rPr>
                      <w:color w:val="000000"/>
                      <w:sz w:val="22"/>
                      <w:szCs w:val="22"/>
                    </w:rPr>
                  </w:pPr>
                  <w:r w:rsidRPr="00CA7710">
                    <w:rPr>
                      <w:color w:val="000000"/>
                      <w:sz w:val="22"/>
                      <w:szCs w:val="22"/>
                    </w:rPr>
                    <w:t>33.802.000</w:t>
                  </w:r>
                </w:p>
              </w:tc>
              <w:tc>
                <w:tcPr>
                  <w:tcW w:w="1417" w:type="dxa"/>
                  <w:vAlign w:val="bottom"/>
                </w:tcPr>
                <w:p w:rsidR="00283BB4" w:rsidRPr="00CA7710" w:rsidRDefault="00CA7710" w:rsidP="007A6C76">
                  <w:pPr>
                    <w:spacing w:line="276" w:lineRule="auto"/>
                    <w:jc w:val="center"/>
                    <w:rPr>
                      <w:color w:val="000000"/>
                      <w:sz w:val="22"/>
                      <w:szCs w:val="22"/>
                    </w:rPr>
                  </w:pPr>
                  <w:r w:rsidRPr="00CA7710">
                    <w:rPr>
                      <w:color w:val="000000"/>
                      <w:sz w:val="22"/>
                      <w:szCs w:val="22"/>
                    </w:rPr>
                    <w:t>+ 33.802.000</w:t>
                  </w:r>
                </w:p>
              </w:tc>
              <w:tc>
                <w:tcPr>
                  <w:tcW w:w="1276" w:type="dxa"/>
                  <w:vAlign w:val="bottom"/>
                </w:tcPr>
                <w:p w:rsidR="00283BB4" w:rsidRPr="00CA7710" w:rsidRDefault="00283BB4" w:rsidP="007A6C76">
                  <w:pPr>
                    <w:spacing w:line="276" w:lineRule="auto"/>
                    <w:jc w:val="center"/>
                    <w:rPr>
                      <w:color w:val="000000"/>
                      <w:sz w:val="22"/>
                      <w:szCs w:val="22"/>
                    </w:rPr>
                  </w:pPr>
                </w:p>
              </w:tc>
              <w:tc>
                <w:tcPr>
                  <w:tcW w:w="1276" w:type="dxa"/>
                  <w:vAlign w:val="bottom"/>
                </w:tcPr>
                <w:p w:rsidR="00283BB4" w:rsidRPr="00CA7710" w:rsidRDefault="00D30831" w:rsidP="007A6C76">
                  <w:pPr>
                    <w:spacing w:line="276" w:lineRule="auto"/>
                    <w:jc w:val="center"/>
                    <w:rPr>
                      <w:color w:val="000000"/>
                      <w:sz w:val="22"/>
                      <w:szCs w:val="22"/>
                    </w:rPr>
                  </w:pPr>
                  <w:r w:rsidRPr="00CA7710">
                    <w:rPr>
                      <w:sz w:val="22"/>
                      <w:szCs w:val="22"/>
                      <w:shd w:val="clear" w:color="auto" w:fill="FFFFFF"/>
                    </w:rPr>
                    <w:t>17.478.000</w:t>
                  </w:r>
                </w:p>
              </w:tc>
              <w:tc>
                <w:tcPr>
                  <w:tcW w:w="1374" w:type="dxa"/>
                  <w:vAlign w:val="bottom"/>
                </w:tcPr>
                <w:p w:rsidR="00283BB4" w:rsidRPr="00CA7710" w:rsidRDefault="00D30831" w:rsidP="007A6C76">
                  <w:pPr>
                    <w:spacing w:line="276" w:lineRule="auto"/>
                    <w:jc w:val="center"/>
                    <w:rPr>
                      <w:color w:val="000000"/>
                      <w:sz w:val="22"/>
                      <w:szCs w:val="22"/>
                    </w:rPr>
                  </w:pPr>
                  <w:r w:rsidRPr="00CA7710">
                    <w:rPr>
                      <w:color w:val="000000"/>
                      <w:sz w:val="22"/>
                      <w:szCs w:val="22"/>
                    </w:rPr>
                    <w:t>+</w:t>
                  </w:r>
                  <w:r w:rsidRPr="00CA7710">
                    <w:rPr>
                      <w:sz w:val="22"/>
                      <w:szCs w:val="22"/>
                      <w:shd w:val="clear" w:color="auto" w:fill="FFFFFF"/>
                    </w:rPr>
                    <w:t>17.478.000</w:t>
                  </w:r>
                </w:p>
              </w:tc>
              <w:tc>
                <w:tcPr>
                  <w:tcW w:w="1461" w:type="dxa"/>
                  <w:vAlign w:val="bottom"/>
                </w:tcPr>
                <w:p w:rsidR="00283BB4" w:rsidRPr="00CA7710" w:rsidRDefault="00CA7710" w:rsidP="007A6C76">
                  <w:pPr>
                    <w:spacing w:line="276" w:lineRule="auto"/>
                    <w:jc w:val="center"/>
                    <w:rPr>
                      <w:color w:val="000000"/>
                      <w:sz w:val="22"/>
                      <w:szCs w:val="22"/>
                    </w:rPr>
                  </w:pPr>
                  <w:r w:rsidRPr="00CA7710">
                    <w:rPr>
                      <w:color w:val="000000"/>
                      <w:sz w:val="22"/>
                      <w:szCs w:val="22"/>
                    </w:rPr>
                    <w:t>+51.280.000</w:t>
                  </w:r>
                </w:p>
              </w:tc>
            </w:tr>
            <w:tr w:rsidR="007A6C76" w:rsidRPr="00A770FC" w:rsidTr="00CA7710">
              <w:tc>
                <w:tcPr>
                  <w:tcW w:w="709" w:type="dxa"/>
                </w:tcPr>
                <w:p w:rsidR="007A6C76" w:rsidRPr="00CA7710" w:rsidRDefault="007A6C76" w:rsidP="007A6C76">
                  <w:pPr>
                    <w:spacing w:line="276" w:lineRule="auto"/>
                    <w:jc w:val="center"/>
                    <w:rPr>
                      <w:shd w:val="clear" w:color="auto" w:fill="FFFFFF"/>
                    </w:rPr>
                  </w:pPr>
                </w:p>
              </w:tc>
              <w:tc>
                <w:tcPr>
                  <w:tcW w:w="1276" w:type="dxa"/>
                  <w:vAlign w:val="bottom"/>
                </w:tcPr>
                <w:p w:rsidR="007A6C76" w:rsidRPr="00CA7710" w:rsidRDefault="00A770FC" w:rsidP="007A6C76">
                  <w:pPr>
                    <w:spacing w:line="276" w:lineRule="auto"/>
                    <w:jc w:val="center"/>
                    <w:rPr>
                      <w:shd w:val="clear" w:color="auto" w:fill="FFFFFF"/>
                    </w:rPr>
                  </w:pPr>
                  <w:r w:rsidRPr="00CA7710">
                    <w:rPr>
                      <w:b/>
                      <w:bCs/>
                      <w:color w:val="000000"/>
                      <w:sz w:val="22"/>
                      <w:szCs w:val="22"/>
                    </w:rPr>
                    <w:t>74.507.000</w:t>
                  </w:r>
                </w:p>
              </w:tc>
              <w:tc>
                <w:tcPr>
                  <w:tcW w:w="1279" w:type="dxa"/>
                  <w:vAlign w:val="bottom"/>
                </w:tcPr>
                <w:p w:rsidR="007A6C76" w:rsidRPr="00CA7710" w:rsidRDefault="007A6C76" w:rsidP="007A6C76">
                  <w:pPr>
                    <w:spacing w:line="276" w:lineRule="auto"/>
                    <w:jc w:val="center"/>
                    <w:rPr>
                      <w:shd w:val="clear" w:color="auto" w:fill="FFFFFF"/>
                    </w:rPr>
                  </w:pPr>
                  <w:r w:rsidRPr="00CA7710">
                    <w:rPr>
                      <w:b/>
                      <w:bCs/>
                      <w:color w:val="000000"/>
                      <w:sz w:val="22"/>
                      <w:szCs w:val="22"/>
                    </w:rPr>
                    <w:t>74.507.000</w:t>
                  </w:r>
                </w:p>
              </w:tc>
              <w:tc>
                <w:tcPr>
                  <w:tcW w:w="1417" w:type="dxa"/>
                  <w:vAlign w:val="bottom"/>
                </w:tcPr>
                <w:p w:rsidR="007A6C76" w:rsidRPr="00CA7710" w:rsidRDefault="00CA7710" w:rsidP="007A6C76">
                  <w:pPr>
                    <w:spacing w:line="276" w:lineRule="auto"/>
                    <w:jc w:val="center"/>
                    <w:rPr>
                      <w:b/>
                      <w:bCs/>
                      <w:color w:val="000000"/>
                      <w:sz w:val="22"/>
                      <w:szCs w:val="22"/>
                    </w:rPr>
                  </w:pPr>
                  <w:r w:rsidRPr="00CA7710">
                    <w:rPr>
                      <w:b/>
                      <w:bCs/>
                      <w:color w:val="000000"/>
                      <w:sz w:val="22"/>
                      <w:szCs w:val="22"/>
                    </w:rPr>
                    <w:t>0</w:t>
                  </w:r>
                </w:p>
              </w:tc>
              <w:tc>
                <w:tcPr>
                  <w:tcW w:w="1276" w:type="dxa"/>
                  <w:vAlign w:val="bottom"/>
                </w:tcPr>
                <w:p w:rsidR="007A6C76" w:rsidRPr="00CA7710" w:rsidRDefault="00A770FC" w:rsidP="007A6C76">
                  <w:pPr>
                    <w:spacing w:line="276" w:lineRule="auto"/>
                    <w:jc w:val="center"/>
                    <w:rPr>
                      <w:shd w:val="clear" w:color="auto" w:fill="FFFFFF"/>
                    </w:rPr>
                  </w:pPr>
                  <w:r w:rsidRPr="00CA7710">
                    <w:rPr>
                      <w:b/>
                      <w:bCs/>
                      <w:color w:val="000000"/>
                      <w:sz w:val="22"/>
                      <w:szCs w:val="22"/>
                    </w:rPr>
                    <w:t>34.778.000</w:t>
                  </w:r>
                </w:p>
              </w:tc>
              <w:tc>
                <w:tcPr>
                  <w:tcW w:w="1276" w:type="dxa"/>
                  <w:vAlign w:val="bottom"/>
                </w:tcPr>
                <w:p w:rsidR="007A6C76" w:rsidRPr="00CA7710" w:rsidRDefault="007A6C76" w:rsidP="007A6C76">
                  <w:pPr>
                    <w:spacing w:line="276" w:lineRule="auto"/>
                    <w:jc w:val="center"/>
                    <w:rPr>
                      <w:sz w:val="22"/>
                      <w:szCs w:val="22"/>
                      <w:shd w:val="clear" w:color="auto" w:fill="FFFFFF"/>
                    </w:rPr>
                  </w:pPr>
                  <w:r w:rsidRPr="00CA7710">
                    <w:rPr>
                      <w:b/>
                      <w:bCs/>
                      <w:color w:val="000000"/>
                      <w:sz w:val="22"/>
                      <w:szCs w:val="22"/>
                    </w:rPr>
                    <w:t>34.778.000</w:t>
                  </w:r>
                </w:p>
              </w:tc>
              <w:tc>
                <w:tcPr>
                  <w:tcW w:w="1374" w:type="dxa"/>
                  <w:vAlign w:val="bottom"/>
                </w:tcPr>
                <w:p w:rsidR="007A6C76" w:rsidRPr="00CA7710" w:rsidRDefault="00D30831" w:rsidP="007A6C76">
                  <w:pPr>
                    <w:spacing w:line="276" w:lineRule="auto"/>
                    <w:jc w:val="center"/>
                    <w:rPr>
                      <w:sz w:val="22"/>
                      <w:szCs w:val="22"/>
                      <w:shd w:val="clear" w:color="auto" w:fill="FFFFFF"/>
                    </w:rPr>
                  </w:pPr>
                  <w:r w:rsidRPr="00CA7710">
                    <w:rPr>
                      <w:b/>
                      <w:bCs/>
                      <w:color w:val="000000"/>
                      <w:sz w:val="22"/>
                      <w:szCs w:val="22"/>
                    </w:rPr>
                    <w:t>0</w:t>
                  </w:r>
                </w:p>
              </w:tc>
              <w:tc>
                <w:tcPr>
                  <w:tcW w:w="1461" w:type="dxa"/>
                  <w:vAlign w:val="bottom"/>
                </w:tcPr>
                <w:p w:rsidR="007A6C76" w:rsidRPr="00CA7710" w:rsidRDefault="00CA7710" w:rsidP="00CA7710">
                  <w:pPr>
                    <w:spacing w:line="276" w:lineRule="auto"/>
                    <w:jc w:val="center"/>
                    <w:rPr>
                      <w:b/>
                      <w:shd w:val="clear" w:color="auto" w:fill="FFFFFF"/>
                    </w:rPr>
                  </w:pPr>
                  <w:r w:rsidRPr="00CA7710">
                    <w:rPr>
                      <w:b/>
                      <w:bCs/>
                      <w:color w:val="000000"/>
                      <w:sz w:val="22"/>
                      <w:szCs w:val="22"/>
                    </w:rPr>
                    <w:t>0</w:t>
                  </w:r>
                </w:p>
              </w:tc>
            </w:tr>
          </w:tbl>
          <w:p w:rsidR="006F1144" w:rsidRDefault="006F1144" w:rsidP="00680951">
            <w:pPr>
              <w:autoSpaceDE w:val="0"/>
              <w:autoSpaceDN w:val="0"/>
              <w:adjustRightInd w:val="0"/>
              <w:spacing w:line="276" w:lineRule="auto"/>
              <w:ind w:firstLine="360"/>
              <w:jc w:val="both"/>
            </w:pPr>
          </w:p>
          <w:p w:rsidR="001843FA" w:rsidRPr="00680951" w:rsidRDefault="00F61D0A" w:rsidP="00680951">
            <w:pPr>
              <w:autoSpaceDE w:val="0"/>
              <w:autoSpaceDN w:val="0"/>
              <w:adjustRightInd w:val="0"/>
              <w:spacing w:line="276" w:lineRule="auto"/>
              <w:ind w:firstLine="360"/>
              <w:jc w:val="both"/>
              <w:rPr>
                <w:iCs/>
              </w:rPr>
            </w:pPr>
            <w:r w:rsidRPr="00680951">
              <w:t xml:space="preserve">Scopul propunerii de Program de Interes </w:t>
            </w:r>
            <w:proofErr w:type="spellStart"/>
            <w:r w:rsidRPr="00680951">
              <w:t>Naţional</w:t>
            </w:r>
            <w:proofErr w:type="spellEnd"/>
            <w:r w:rsidRPr="00680951">
              <w:t xml:space="preserve"> </w:t>
            </w:r>
            <w:r w:rsidR="00416DBD" w:rsidRPr="002938AB">
              <w:rPr>
                <w:b/>
              </w:rPr>
              <w:t>"</w:t>
            </w:r>
            <w:proofErr w:type="spellStart"/>
            <w:r w:rsidR="00416DBD" w:rsidRPr="002938AB">
              <w:rPr>
                <w:b/>
              </w:rPr>
              <w:t>Înfiinţarea</w:t>
            </w:r>
            <w:proofErr w:type="spellEnd"/>
            <w:r w:rsidR="00416DBD" w:rsidRPr="002938AB">
              <w:rPr>
                <w:b/>
              </w:rPr>
              <w:t xml:space="preserve"> de servicii sociale de tip centre de zi, centre respiro/centre de criză </w:t>
            </w:r>
            <w:proofErr w:type="spellStart"/>
            <w:r w:rsidR="00416DBD" w:rsidRPr="002938AB">
              <w:rPr>
                <w:b/>
              </w:rPr>
              <w:t>şi</w:t>
            </w:r>
            <w:proofErr w:type="spellEnd"/>
            <w:r w:rsidR="00416DBD" w:rsidRPr="002938AB">
              <w:rPr>
                <w:b/>
              </w:rPr>
              <w:t xml:space="preserve"> </w:t>
            </w:r>
            <w:proofErr w:type="spellStart"/>
            <w:r w:rsidR="00416DBD" w:rsidRPr="002938AB">
              <w:rPr>
                <w:b/>
              </w:rPr>
              <w:t>locuinţe</w:t>
            </w:r>
            <w:proofErr w:type="spellEnd"/>
            <w:r w:rsidR="00416DBD" w:rsidRPr="002938AB">
              <w:rPr>
                <w:b/>
              </w:rPr>
              <w:t xml:space="preserve"> protejate în vederea </w:t>
            </w:r>
            <w:proofErr w:type="spellStart"/>
            <w:r w:rsidR="00416DBD" w:rsidRPr="002938AB">
              <w:rPr>
                <w:b/>
              </w:rPr>
              <w:t>dezinstituţionalizării</w:t>
            </w:r>
            <w:proofErr w:type="spellEnd"/>
            <w:r w:rsidR="00416DBD" w:rsidRPr="002938AB">
              <w:rPr>
                <w:b/>
              </w:rPr>
              <w:t xml:space="preserve"> persoanelor cu </w:t>
            </w:r>
            <w:proofErr w:type="spellStart"/>
            <w:r w:rsidR="00416DBD" w:rsidRPr="002938AB">
              <w:rPr>
                <w:b/>
              </w:rPr>
              <w:t>dizabilităţi</w:t>
            </w:r>
            <w:proofErr w:type="spellEnd"/>
            <w:r w:rsidR="00416DBD" w:rsidRPr="002938AB">
              <w:rPr>
                <w:b/>
              </w:rPr>
              <w:t xml:space="preserve"> aflate în </w:t>
            </w:r>
            <w:proofErr w:type="spellStart"/>
            <w:r w:rsidR="00416DBD" w:rsidRPr="002938AB">
              <w:rPr>
                <w:b/>
              </w:rPr>
              <w:t>instituţii</w:t>
            </w:r>
            <w:proofErr w:type="spellEnd"/>
            <w:r w:rsidR="00416DBD" w:rsidRPr="002938AB">
              <w:rPr>
                <w:b/>
              </w:rPr>
              <w:t xml:space="preserve"> de tip vechi </w:t>
            </w:r>
            <w:proofErr w:type="spellStart"/>
            <w:r w:rsidR="00416DBD" w:rsidRPr="002938AB">
              <w:rPr>
                <w:b/>
              </w:rPr>
              <w:t>şi</w:t>
            </w:r>
            <w:proofErr w:type="spellEnd"/>
            <w:r w:rsidR="00416DBD" w:rsidRPr="002938AB">
              <w:rPr>
                <w:b/>
              </w:rPr>
              <w:t xml:space="preserve"> pentru prevenirea </w:t>
            </w:r>
            <w:proofErr w:type="spellStart"/>
            <w:r w:rsidR="00416DBD" w:rsidRPr="002938AB">
              <w:rPr>
                <w:b/>
              </w:rPr>
              <w:t>instituţionalizării</w:t>
            </w:r>
            <w:proofErr w:type="spellEnd"/>
            <w:r w:rsidR="00416DBD" w:rsidRPr="002938AB">
              <w:rPr>
                <w:b/>
              </w:rPr>
              <w:t xml:space="preserve"> persoanelor cu </w:t>
            </w:r>
            <w:proofErr w:type="spellStart"/>
            <w:r w:rsidR="00416DBD" w:rsidRPr="002938AB">
              <w:rPr>
                <w:b/>
              </w:rPr>
              <w:t>dizabilităţi</w:t>
            </w:r>
            <w:proofErr w:type="spellEnd"/>
            <w:r w:rsidR="00416DBD" w:rsidRPr="002938AB">
              <w:rPr>
                <w:b/>
              </w:rPr>
              <w:t xml:space="preserve"> din comunitate"</w:t>
            </w:r>
            <w:r w:rsidR="00416DBD">
              <w:rPr>
                <w:b/>
              </w:rPr>
              <w:t xml:space="preserve"> </w:t>
            </w:r>
            <w:r w:rsidR="002938AB">
              <w:t xml:space="preserve">este cel </w:t>
            </w:r>
            <w:r w:rsidRPr="00680951">
              <w:t>aprobat prin H</w:t>
            </w:r>
            <w:r w:rsidR="00AB182A" w:rsidRPr="00680951">
              <w:t xml:space="preserve">otărârea </w:t>
            </w:r>
            <w:r w:rsidRPr="00680951">
              <w:t>G</w:t>
            </w:r>
            <w:r w:rsidR="00AB182A" w:rsidRPr="00680951">
              <w:t>uvernului</w:t>
            </w:r>
            <w:r w:rsidR="00F53AF8" w:rsidRPr="00680951">
              <w:t xml:space="preserve"> nr. </w:t>
            </w:r>
            <w:r w:rsidRPr="00680951">
              <w:t xml:space="preserve">798/2016, </w:t>
            </w:r>
            <w:r w:rsidR="00234828">
              <w:t xml:space="preserve">modificată prin </w:t>
            </w:r>
            <w:r w:rsidR="00234828" w:rsidRPr="00680951">
              <w:t xml:space="preserve">Hotărârea Guvernului nr. </w:t>
            </w:r>
            <w:r w:rsidR="00234828">
              <w:t xml:space="preserve">192/2018, </w:t>
            </w:r>
            <w:r w:rsidR="005828AB">
              <w:t>ș</w:t>
            </w:r>
            <w:r w:rsidRPr="00680951">
              <w:t>i anume: reducerea numărului de persoane cu dizabilități instituționalizate precum și prevenirea instituționalizării prin crearea de servi</w:t>
            </w:r>
            <w:r w:rsidR="00BD34A9">
              <w:t>cii specializate în comunitate.</w:t>
            </w:r>
          </w:p>
          <w:p w:rsidR="001843FA" w:rsidRDefault="001843FA" w:rsidP="00680951">
            <w:pPr>
              <w:autoSpaceDE w:val="0"/>
              <w:autoSpaceDN w:val="0"/>
              <w:adjustRightInd w:val="0"/>
              <w:spacing w:line="276" w:lineRule="auto"/>
              <w:ind w:firstLine="421"/>
              <w:jc w:val="both"/>
              <w:rPr>
                <w:iCs/>
              </w:rPr>
            </w:pPr>
            <w:r w:rsidRPr="00680951">
              <w:rPr>
                <w:iCs/>
              </w:rPr>
              <w:t xml:space="preserve">Implementarea programului se realizează la nivel județean de către: DGASPC în parteneriat cu ONG-uri și, după caz, </w:t>
            </w:r>
            <w:r w:rsidR="00ED6D21" w:rsidRPr="00680951">
              <w:rPr>
                <w:iCs/>
              </w:rPr>
              <w:t xml:space="preserve">autoritățile publice locale, </w:t>
            </w:r>
            <w:r w:rsidRPr="00680951">
              <w:rPr>
                <w:iCs/>
              </w:rPr>
              <w:t>care pot pune la dispoziție spațiile necesare dezvoltării infrastructurii.</w:t>
            </w:r>
          </w:p>
          <w:p w:rsidR="00416DBD" w:rsidRDefault="00416DBD" w:rsidP="00416DBD">
            <w:pPr>
              <w:autoSpaceDE w:val="0"/>
              <w:autoSpaceDN w:val="0"/>
              <w:adjustRightInd w:val="0"/>
              <w:spacing w:line="276" w:lineRule="auto"/>
              <w:ind w:firstLine="360"/>
              <w:jc w:val="both"/>
            </w:pPr>
            <w:r w:rsidRPr="00680951">
              <w:t xml:space="preserve">Scopul propunerii de Program de Interes </w:t>
            </w:r>
            <w:proofErr w:type="spellStart"/>
            <w:r w:rsidRPr="00680951">
              <w:t>Naţional</w:t>
            </w:r>
            <w:proofErr w:type="spellEnd"/>
            <w:r w:rsidRPr="00680951">
              <w:t xml:space="preserve"> </w:t>
            </w:r>
            <w:r w:rsidRPr="002938AB">
              <w:rPr>
                <w:b/>
              </w:rPr>
              <w:t>"</w:t>
            </w:r>
            <w:proofErr w:type="spellStart"/>
            <w:r w:rsidRPr="002938AB">
              <w:rPr>
                <w:b/>
              </w:rPr>
              <w:t>Înfiinţarea</w:t>
            </w:r>
            <w:proofErr w:type="spellEnd"/>
            <w:r w:rsidRPr="002938AB">
              <w:rPr>
                <w:b/>
              </w:rPr>
              <w:t xml:space="preserve"> de servicii sociale în vederea asigurării </w:t>
            </w:r>
            <w:proofErr w:type="spellStart"/>
            <w:r w:rsidRPr="002938AB">
              <w:rPr>
                <w:b/>
              </w:rPr>
              <w:t>tranziţiei</w:t>
            </w:r>
            <w:proofErr w:type="spellEnd"/>
            <w:r w:rsidRPr="002938AB">
              <w:rPr>
                <w:b/>
              </w:rPr>
              <w:t xml:space="preserve"> tinerilor cu </w:t>
            </w:r>
            <w:proofErr w:type="spellStart"/>
            <w:r w:rsidRPr="002938AB">
              <w:rPr>
                <w:b/>
              </w:rPr>
              <w:t>dizabilităţi</w:t>
            </w:r>
            <w:proofErr w:type="spellEnd"/>
            <w:r w:rsidRPr="002938AB">
              <w:rPr>
                <w:b/>
              </w:rPr>
              <w:t xml:space="preserve"> de la sistemul de </w:t>
            </w:r>
            <w:proofErr w:type="spellStart"/>
            <w:r w:rsidRPr="002938AB">
              <w:rPr>
                <w:b/>
              </w:rPr>
              <w:t>protecţie</w:t>
            </w:r>
            <w:proofErr w:type="spellEnd"/>
            <w:r w:rsidRPr="002938AB">
              <w:rPr>
                <w:b/>
              </w:rPr>
              <w:t xml:space="preserve"> specială a copilului către sistemul de </w:t>
            </w:r>
            <w:proofErr w:type="spellStart"/>
            <w:r w:rsidRPr="002938AB">
              <w:rPr>
                <w:b/>
              </w:rPr>
              <w:t>protecţie</w:t>
            </w:r>
            <w:proofErr w:type="spellEnd"/>
            <w:r w:rsidRPr="002938AB">
              <w:rPr>
                <w:b/>
              </w:rPr>
              <w:t xml:space="preserve"> a persoanelor adulte cu </w:t>
            </w:r>
            <w:proofErr w:type="spellStart"/>
            <w:r w:rsidRPr="002938AB">
              <w:rPr>
                <w:b/>
              </w:rPr>
              <w:t>dizabilităţi</w:t>
            </w:r>
            <w:proofErr w:type="spellEnd"/>
            <w:r w:rsidRPr="002938AB">
              <w:rPr>
                <w:b/>
              </w:rPr>
              <w:t>"</w:t>
            </w:r>
            <w:r>
              <w:rPr>
                <w:b/>
              </w:rPr>
              <w:t xml:space="preserve"> </w:t>
            </w:r>
            <w:r>
              <w:t xml:space="preserve">este cel </w:t>
            </w:r>
            <w:r w:rsidRPr="00680951">
              <w:t xml:space="preserve">aprobat prin Hotărârea Guvernului nr. </w:t>
            </w:r>
            <w:r>
              <w:t xml:space="preserve">193/2018, </w:t>
            </w:r>
            <w:r w:rsidR="007E7694">
              <w:t>ș</w:t>
            </w:r>
            <w:r w:rsidR="007E7694" w:rsidRPr="00680951">
              <w:t xml:space="preserve">i </w:t>
            </w:r>
            <w:r w:rsidRPr="00680951">
              <w:t>anume:</w:t>
            </w:r>
            <w:r>
              <w:t xml:space="preserve"> d</w:t>
            </w:r>
            <w:r w:rsidRPr="00416DBD">
              <w:t xml:space="preserve">ezvoltarea de servicii sociale care să conducă la participarea deplină a tinerilor cu </w:t>
            </w:r>
            <w:proofErr w:type="spellStart"/>
            <w:r w:rsidRPr="00416DBD">
              <w:t>dizabilităţi</w:t>
            </w:r>
            <w:proofErr w:type="spellEnd"/>
            <w:r w:rsidRPr="00416DBD">
              <w:t xml:space="preserve"> în societate</w:t>
            </w:r>
            <w:r>
              <w:t>.</w:t>
            </w:r>
          </w:p>
          <w:p w:rsidR="00A6320B" w:rsidRDefault="00A6320B" w:rsidP="00A6320B">
            <w:pPr>
              <w:autoSpaceDE w:val="0"/>
              <w:autoSpaceDN w:val="0"/>
              <w:adjustRightInd w:val="0"/>
              <w:spacing w:line="276" w:lineRule="auto"/>
              <w:ind w:firstLine="421"/>
              <w:jc w:val="both"/>
              <w:rPr>
                <w:iCs/>
              </w:rPr>
            </w:pPr>
            <w:r w:rsidRPr="00680951">
              <w:rPr>
                <w:iCs/>
              </w:rPr>
              <w:t>Implementarea programului se realizează la nivel județean de către: DGASPC în parteneriat cu ONG-uri și, după caz, autoritățile publice locale, care pot pune la dispoziție spațiile necesare dezvoltării infrastructurii.</w:t>
            </w:r>
          </w:p>
          <w:p w:rsidR="00A7528C" w:rsidRDefault="00A7528C" w:rsidP="00680951">
            <w:pPr>
              <w:autoSpaceDE w:val="0"/>
              <w:autoSpaceDN w:val="0"/>
              <w:adjustRightInd w:val="0"/>
              <w:spacing w:line="276" w:lineRule="auto"/>
              <w:ind w:firstLine="421"/>
              <w:jc w:val="both"/>
              <w:rPr>
                <w:iCs/>
              </w:rPr>
            </w:pPr>
            <w:r>
              <w:rPr>
                <w:iCs/>
              </w:rPr>
              <w:t>În ceea ce pr</w:t>
            </w:r>
            <w:r w:rsidR="0003207A">
              <w:rPr>
                <w:iCs/>
              </w:rPr>
              <w:t>i</w:t>
            </w:r>
            <w:r>
              <w:rPr>
                <w:iCs/>
              </w:rPr>
              <w:t xml:space="preserve">vește finanțarea cheltuielilor de funcționare ale noilor servicii sociale care vor rezulta din implementarea proiectelor </w:t>
            </w:r>
            <w:r w:rsidR="00416DBD">
              <w:rPr>
                <w:iCs/>
              </w:rPr>
              <w:t>aferente celor două programe de interes național</w:t>
            </w:r>
            <w:r>
              <w:rPr>
                <w:iCs/>
              </w:rPr>
              <w:t xml:space="preserve"> menționăm faptul că </w:t>
            </w:r>
            <w:r w:rsidR="0003207A">
              <w:rPr>
                <w:iCs/>
              </w:rPr>
              <w:t>acestea vor fi suportate de beneficiari din bugetele locale.</w:t>
            </w:r>
            <w:r w:rsidR="00AC146B">
              <w:rPr>
                <w:iCs/>
              </w:rPr>
              <w:t xml:space="preserve"> Beneficiarii finanțării vor avea obligația de a asigura sustenabilitatea proiectelor, implicit cheltuielile de funcționare ale serviciilor nou înființate.</w:t>
            </w:r>
          </w:p>
          <w:p w:rsidR="0003207A" w:rsidRPr="00680951" w:rsidRDefault="00416DBD" w:rsidP="005828AB">
            <w:pPr>
              <w:autoSpaceDE w:val="0"/>
              <w:autoSpaceDN w:val="0"/>
              <w:adjustRightInd w:val="0"/>
              <w:spacing w:line="276" w:lineRule="auto"/>
              <w:ind w:firstLine="421"/>
              <w:jc w:val="both"/>
              <w:rPr>
                <w:iCs/>
              </w:rPr>
            </w:pPr>
            <w:r>
              <w:rPr>
                <w:iCs/>
              </w:rPr>
              <w:t>Aceste aspecte au fost menționate în Ghidurile</w:t>
            </w:r>
            <w:r w:rsidR="0003207A">
              <w:rPr>
                <w:iCs/>
              </w:rPr>
              <w:t xml:space="preserve"> solicitantului </w:t>
            </w:r>
            <w:r>
              <w:rPr>
                <w:iCs/>
              </w:rPr>
              <w:t xml:space="preserve">aferente două programe de interes național </w:t>
            </w:r>
            <w:r w:rsidR="0003207A">
              <w:rPr>
                <w:iCs/>
              </w:rPr>
              <w:t>care</w:t>
            </w:r>
            <w:r>
              <w:rPr>
                <w:iCs/>
              </w:rPr>
              <w:t xml:space="preserve"> au fost utilizate în cadrul selecțiilor publice de proiecte și vor f</w:t>
            </w:r>
            <w:r w:rsidR="005828AB">
              <w:rPr>
                <w:iCs/>
              </w:rPr>
              <w:t xml:space="preserve">i menționate și în cele care vor </w:t>
            </w:r>
            <w:r w:rsidR="0003207A">
              <w:rPr>
                <w:iCs/>
              </w:rPr>
              <w:t>fi elaborat</w:t>
            </w:r>
            <w:r w:rsidR="005828AB">
              <w:rPr>
                <w:iCs/>
              </w:rPr>
              <w:t>e</w:t>
            </w:r>
            <w:r w:rsidR="0003207A">
              <w:rPr>
                <w:iCs/>
              </w:rPr>
              <w:t xml:space="preserve"> ulterior emiterii HG.</w:t>
            </w:r>
          </w:p>
          <w:p w:rsidR="0046781E" w:rsidRPr="00680951" w:rsidRDefault="005828AB" w:rsidP="00680951">
            <w:pPr>
              <w:autoSpaceDE w:val="0"/>
              <w:autoSpaceDN w:val="0"/>
              <w:adjustRightInd w:val="0"/>
              <w:spacing w:line="276" w:lineRule="auto"/>
              <w:ind w:firstLine="360"/>
              <w:jc w:val="both"/>
            </w:pPr>
            <w:r>
              <w:t>Programele</w:t>
            </w:r>
            <w:r w:rsidR="0046781E" w:rsidRPr="00680951">
              <w:t xml:space="preserve"> de Interes </w:t>
            </w:r>
            <w:proofErr w:type="spellStart"/>
            <w:r w:rsidR="0046781E" w:rsidRPr="00680951">
              <w:t>Naţional</w:t>
            </w:r>
            <w:proofErr w:type="spellEnd"/>
            <w:r w:rsidR="0046781E" w:rsidRPr="00680951">
              <w:t xml:space="preserve"> </w:t>
            </w:r>
            <w:r>
              <w:t>vor</w:t>
            </w:r>
            <w:r w:rsidR="00D957DE" w:rsidRPr="00680951">
              <w:t xml:space="preserve"> fi derulat</w:t>
            </w:r>
            <w:r>
              <w:t xml:space="preserve">e pe o perioadă de </w:t>
            </w:r>
            <w:r w:rsidR="00702AB1">
              <w:t>4</w:t>
            </w:r>
            <w:r w:rsidR="00D957DE" w:rsidRPr="00680951">
              <w:t xml:space="preserve"> ani (201</w:t>
            </w:r>
            <w:r w:rsidR="00041C72">
              <w:t>8</w:t>
            </w:r>
            <w:r w:rsidR="00D957DE" w:rsidRPr="00680951">
              <w:t xml:space="preserve"> - 20</w:t>
            </w:r>
            <w:r w:rsidR="00702AB1">
              <w:t>21</w:t>
            </w:r>
            <w:r w:rsidR="0046781E" w:rsidRPr="00680951">
              <w:t>).</w:t>
            </w:r>
          </w:p>
          <w:p w:rsidR="0046781E" w:rsidRDefault="0046781E" w:rsidP="00680951">
            <w:pPr>
              <w:autoSpaceDE w:val="0"/>
              <w:autoSpaceDN w:val="0"/>
              <w:adjustRightInd w:val="0"/>
              <w:spacing w:line="276" w:lineRule="auto"/>
              <w:ind w:firstLine="360"/>
              <w:jc w:val="both"/>
            </w:pPr>
            <w:r w:rsidRPr="00680951">
              <w:t xml:space="preserve">Organizarea </w:t>
            </w:r>
            <w:proofErr w:type="spellStart"/>
            <w:r w:rsidRPr="00680951">
              <w:t>şi</w:t>
            </w:r>
            <w:proofErr w:type="spellEnd"/>
            <w:r w:rsidRPr="00680951">
              <w:t xml:space="preserve"> </w:t>
            </w:r>
            <w:proofErr w:type="spellStart"/>
            <w:r w:rsidRPr="00680951">
              <w:t>desfăşurarea</w:t>
            </w:r>
            <w:proofErr w:type="spellEnd"/>
            <w:r w:rsidRPr="00680951">
              <w:t xml:space="preserve"> </w:t>
            </w:r>
            <w:proofErr w:type="spellStart"/>
            <w:r w:rsidRPr="00680951">
              <w:t>activităţilor</w:t>
            </w:r>
            <w:proofErr w:type="spellEnd"/>
            <w:r w:rsidRPr="00680951">
              <w:t xml:space="preserve"> noilor servicii </w:t>
            </w:r>
            <w:r w:rsidRPr="003131CD">
              <w:t xml:space="preserve">sociale trebuie să respecte prevederile </w:t>
            </w:r>
            <w:r w:rsidR="003131CD" w:rsidRPr="003131CD">
              <w:t xml:space="preserve">Standardelor specifice minime de calitate obligatorii pentru serviciile sociale destinate persoanelor adulte cu </w:t>
            </w:r>
            <w:proofErr w:type="spellStart"/>
            <w:r w:rsidR="003131CD" w:rsidRPr="003131CD">
              <w:t>dizabilităţi</w:t>
            </w:r>
            <w:proofErr w:type="spellEnd"/>
            <w:r w:rsidRPr="003131CD">
              <w:t xml:space="preserve">, aprobate </w:t>
            </w:r>
            <w:r w:rsidR="003131CD" w:rsidRPr="003131CD">
              <w:t>prin Ordinul ministrului muncii</w:t>
            </w:r>
            <w:r w:rsidRPr="003131CD">
              <w:t xml:space="preserve"> </w:t>
            </w:r>
            <w:r w:rsidR="003131CD" w:rsidRPr="003131CD">
              <w:t>și justiției sociale</w:t>
            </w:r>
            <w:r w:rsidRPr="003131CD">
              <w:t xml:space="preserve"> nr. </w:t>
            </w:r>
            <w:r w:rsidR="003131CD" w:rsidRPr="003131CD">
              <w:t>82/16.01.2019</w:t>
            </w:r>
            <w:r w:rsidRPr="003131CD">
              <w:t>.</w:t>
            </w:r>
          </w:p>
          <w:p w:rsidR="003131CD" w:rsidRDefault="003131CD" w:rsidP="00680951">
            <w:pPr>
              <w:autoSpaceDE w:val="0"/>
              <w:autoSpaceDN w:val="0"/>
              <w:adjustRightInd w:val="0"/>
              <w:spacing w:line="276" w:lineRule="auto"/>
              <w:ind w:firstLine="360"/>
              <w:jc w:val="both"/>
            </w:pPr>
            <w:r>
              <w:lastRenderedPageBreak/>
              <w:t xml:space="preserve">De asemenea, este necesară aprobarea prezentei HG în contextul </w:t>
            </w:r>
            <w:r w:rsidRPr="003131CD">
              <w:t>OUG 69/2018</w:t>
            </w:r>
            <w:r>
              <w:t xml:space="preserve"> </w:t>
            </w:r>
            <w:r w:rsidRPr="003131CD">
              <w:t xml:space="preserve">pentru modificarea </w:t>
            </w:r>
            <w:proofErr w:type="spellStart"/>
            <w:r w:rsidRPr="003131CD">
              <w:t>şi</w:t>
            </w:r>
            <w:proofErr w:type="spellEnd"/>
            <w:r w:rsidRPr="003131CD">
              <w:t xml:space="preserve"> completarea Legii nr. 448/2006 privind </w:t>
            </w:r>
            <w:proofErr w:type="spellStart"/>
            <w:r w:rsidRPr="003131CD">
              <w:t>protecţia</w:t>
            </w:r>
            <w:proofErr w:type="spellEnd"/>
            <w:r w:rsidRPr="003131CD">
              <w:t xml:space="preserve"> </w:t>
            </w:r>
            <w:proofErr w:type="spellStart"/>
            <w:r w:rsidRPr="003131CD">
              <w:t>şi</w:t>
            </w:r>
            <w:proofErr w:type="spellEnd"/>
            <w:r w:rsidRPr="003131CD">
              <w:t xml:space="preserve"> promovarea drepturilor persoanelor cu handicap</w:t>
            </w:r>
            <w:r>
              <w:t>, conform căruia</w:t>
            </w:r>
            <w:r w:rsidRPr="003131CD">
              <w:t xml:space="preserve"> s-a stabilit ca DGASPC să elaboreze Planurile de reorganizare/restructurare </w:t>
            </w:r>
            <w:r>
              <w:t xml:space="preserve">ale centrelor rezidențiale </w:t>
            </w:r>
            <w:r w:rsidRPr="003131CD">
              <w:t>în baza cărora se va asigura transferul beneficiarilor în alternat</w:t>
            </w:r>
            <w:r>
              <w:t>ivele de tip locuință protejată</w:t>
            </w:r>
            <w:r w:rsidRPr="003131CD">
              <w:t>.</w:t>
            </w:r>
          </w:p>
          <w:p w:rsidR="00D64C0A" w:rsidRPr="00680951" w:rsidRDefault="0046781E" w:rsidP="00125934">
            <w:pPr>
              <w:autoSpaceDE w:val="0"/>
              <w:autoSpaceDN w:val="0"/>
              <w:adjustRightInd w:val="0"/>
              <w:spacing w:line="276" w:lineRule="auto"/>
              <w:ind w:firstLine="360"/>
              <w:jc w:val="both"/>
            </w:pPr>
            <w:r w:rsidRPr="00680951">
              <w:t xml:space="preserve">Serviciile sociale nou </w:t>
            </w:r>
            <w:proofErr w:type="spellStart"/>
            <w:r w:rsidRPr="00680951">
              <w:t>înfiinţate</w:t>
            </w:r>
            <w:proofErr w:type="spellEnd"/>
            <w:r w:rsidRPr="00680951">
              <w:t xml:space="preserve"> trebuie să fie amplasate în comunitate astfel încât să permită accesul beneficiarilor la toate resursele </w:t>
            </w:r>
            <w:proofErr w:type="spellStart"/>
            <w:r w:rsidRPr="00680951">
              <w:t>şi</w:t>
            </w:r>
            <w:proofErr w:type="spellEnd"/>
            <w:r w:rsidRPr="00680951">
              <w:t xml:space="preserve"> </w:t>
            </w:r>
            <w:proofErr w:type="spellStart"/>
            <w:r w:rsidRPr="00680951">
              <w:t>facilităţile</w:t>
            </w:r>
            <w:proofErr w:type="spellEnd"/>
            <w:r w:rsidRPr="00680951">
              <w:t xml:space="preserve"> ei: sănătate, </w:t>
            </w:r>
            <w:proofErr w:type="spellStart"/>
            <w:r w:rsidRPr="00680951">
              <w:t>educaţie</w:t>
            </w:r>
            <w:proofErr w:type="spellEnd"/>
            <w:r w:rsidRPr="00680951">
              <w:t xml:space="preserve">, muncă, cultură, petrecerea timpului liber, </w:t>
            </w:r>
            <w:proofErr w:type="spellStart"/>
            <w:r w:rsidRPr="00680951">
              <w:t>relaţii</w:t>
            </w:r>
            <w:proofErr w:type="spellEnd"/>
            <w:r w:rsidRPr="00680951">
              <w:t xml:space="preserve"> sociale. De asemenea, trebuie să fie </w:t>
            </w:r>
            <w:proofErr w:type="spellStart"/>
            <w:r w:rsidRPr="00680951">
              <w:t>poziţionat</w:t>
            </w:r>
            <w:proofErr w:type="spellEnd"/>
            <w:r w:rsidRPr="00680951">
              <w:t xml:space="preserve"> accesibil </w:t>
            </w:r>
            <w:proofErr w:type="spellStart"/>
            <w:r w:rsidRPr="00680951">
              <w:t>faţă</w:t>
            </w:r>
            <w:proofErr w:type="spellEnd"/>
            <w:r w:rsidRPr="00680951">
              <w:t xml:space="preserve"> de mijloacele de transport </w:t>
            </w:r>
            <w:proofErr w:type="spellStart"/>
            <w:r w:rsidRPr="00680951">
              <w:t>şi</w:t>
            </w:r>
            <w:proofErr w:type="spellEnd"/>
            <w:r w:rsidRPr="00680951">
              <w:t xml:space="preserve"> </w:t>
            </w:r>
            <w:proofErr w:type="spellStart"/>
            <w:r w:rsidRPr="00680951">
              <w:t>faţă</w:t>
            </w:r>
            <w:proofErr w:type="spellEnd"/>
            <w:r w:rsidRPr="00680951">
              <w:t xml:space="preserve"> de alte servicii din comunitate.</w:t>
            </w:r>
          </w:p>
          <w:p w:rsidR="00115488" w:rsidRPr="00680951" w:rsidRDefault="00115488" w:rsidP="00FB3221">
            <w:pPr>
              <w:autoSpaceDE w:val="0"/>
              <w:autoSpaceDN w:val="0"/>
              <w:adjustRightInd w:val="0"/>
              <w:spacing w:line="276" w:lineRule="auto"/>
              <w:ind w:firstLine="360"/>
              <w:jc w:val="both"/>
              <w:rPr>
                <w:iCs/>
              </w:rPr>
            </w:pPr>
          </w:p>
        </w:tc>
      </w:tr>
      <w:tr w:rsidR="009E04BC" w:rsidRPr="00680951" w:rsidTr="00CA7710">
        <w:trPr>
          <w:trHeight w:val="440"/>
        </w:trPr>
        <w:tc>
          <w:tcPr>
            <w:tcW w:w="10178" w:type="dxa"/>
            <w:gridSpan w:val="7"/>
            <w:tcBorders>
              <w:top w:val="single" w:sz="4" w:space="0" w:color="auto"/>
              <w:left w:val="single" w:sz="4" w:space="0" w:color="auto"/>
              <w:bottom w:val="single" w:sz="4" w:space="0" w:color="auto"/>
              <w:right w:val="single" w:sz="4" w:space="0" w:color="auto"/>
            </w:tcBorders>
          </w:tcPr>
          <w:p w:rsidR="00680951" w:rsidRPr="00680951" w:rsidRDefault="00966AD6" w:rsidP="00680951">
            <w:pPr>
              <w:numPr>
                <w:ilvl w:val="0"/>
                <w:numId w:val="8"/>
              </w:numPr>
              <w:spacing w:line="276" w:lineRule="auto"/>
              <w:jc w:val="both"/>
              <w:rPr>
                <w:b/>
              </w:rPr>
            </w:pPr>
            <w:r w:rsidRPr="00680951">
              <w:rPr>
                <w:b/>
              </w:rPr>
              <w:lastRenderedPageBreak/>
              <w:t>Schimbări preconizate</w:t>
            </w:r>
          </w:p>
          <w:p w:rsidR="009549FC" w:rsidRDefault="00086E19">
            <w:pPr>
              <w:spacing w:line="276" w:lineRule="auto"/>
              <w:ind w:firstLine="360"/>
              <w:jc w:val="both"/>
            </w:pPr>
            <w:r w:rsidRPr="00680951">
              <w:rPr>
                <w:shd w:val="clear" w:color="auto" w:fill="FFFFFF"/>
              </w:rPr>
              <w:t>În contextul necesității continuării demersurilor referitoare la crearea condițiilor de realizare a procesului de dezinstituționalizare a persoanelor adulte cu dizabilități</w:t>
            </w:r>
            <w:r w:rsidR="003131CD">
              <w:rPr>
                <w:shd w:val="clear" w:color="auto" w:fill="FFFFFF"/>
              </w:rPr>
              <w:t xml:space="preserve"> și </w:t>
            </w:r>
            <w:r w:rsidR="00603261">
              <w:t>de prevenire a instituționalizării</w:t>
            </w:r>
            <w:r w:rsidR="003131CD" w:rsidRPr="00416DBD">
              <w:t xml:space="preserve"> tinerilor cu </w:t>
            </w:r>
            <w:proofErr w:type="spellStart"/>
            <w:r w:rsidR="003131CD" w:rsidRPr="00416DBD">
              <w:t>dizabilităţi</w:t>
            </w:r>
            <w:proofErr w:type="spellEnd"/>
            <w:r w:rsidR="00603261">
              <w:t>, precum</w:t>
            </w:r>
            <w:r w:rsidRPr="00680951">
              <w:rPr>
                <w:shd w:val="clear" w:color="auto" w:fill="FFFFFF"/>
              </w:rPr>
              <w:t xml:space="preserve"> și în vederea atingerii indicatorilor asumați prin POR 2014 – 2020, propunerea de m</w:t>
            </w:r>
            <w:r w:rsidR="00603261">
              <w:rPr>
                <w:shd w:val="clear" w:color="auto" w:fill="FFFFFF"/>
              </w:rPr>
              <w:t>odificare va</w:t>
            </w:r>
            <w:r w:rsidR="00DA0EE2" w:rsidRPr="00680951">
              <w:rPr>
                <w:shd w:val="clear" w:color="auto" w:fill="FFFFFF"/>
              </w:rPr>
              <w:t xml:space="preserve"> asigur</w:t>
            </w:r>
            <w:r w:rsidRPr="00680951">
              <w:rPr>
                <w:shd w:val="clear" w:color="auto" w:fill="FFFFFF"/>
              </w:rPr>
              <w:t>a</w:t>
            </w:r>
            <w:r w:rsidR="00DA0EE2" w:rsidRPr="00680951">
              <w:rPr>
                <w:shd w:val="clear" w:color="auto" w:fill="FFFFFF"/>
              </w:rPr>
              <w:t xml:space="preserve"> cadrul legislativ necesar dezvoltării </w:t>
            </w:r>
            <w:proofErr w:type="spellStart"/>
            <w:r w:rsidR="00DA0EE2" w:rsidRPr="00680951">
              <w:rPr>
                <w:shd w:val="clear" w:color="auto" w:fill="FFFFFF"/>
              </w:rPr>
              <w:t>reţelei</w:t>
            </w:r>
            <w:proofErr w:type="spellEnd"/>
            <w:r w:rsidR="00DA0EE2" w:rsidRPr="00680951">
              <w:rPr>
                <w:shd w:val="clear" w:color="auto" w:fill="FFFFFF"/>
              </w:rPr>
              <w:t xml:space="preserve"> de servicii sociale</w:t>
            </w:r>
            <w:r w:rsidR="00DA0EE2" w:rsidRPr="00680951">
              <w:rPr>
                <w:color w:val="666666"/>
                <w:shd w:val="clear" w:color="auto" w:fill="FFFFFF"/>
              </w:rPr>
              <w:t xml:space="preserve"> </w:t>
            </w:r>
            <w:r w:rsidR="00DA0EE2" w:rsidRPr="00680951">
              <w:rPr>
                <w:bCs/>
              </w:rPr>
              <w:t>de tip centre de zi</w:t>
            </w:r>
            <w:r w:rsidR="00456A85" w:rsidRPr="00680951">
              <w:rPr>
                <w:bCs/>
              </w:rPr>
              <w:t>, centre respiro</w:t>
            </w:r>
            <w:r w:rsidR="0031332E" w:rsidRPr="00680951">
              <w:rPr>
                <w:bCs/>
              </w:rPr>
              <w:t>/ centre de criză</w:t>
            </w:r>
            <w:r w:rsidR="00DA0EE2" w:rsidRPr="00680951">
              <w:rPr>
                <w:bCs/>
              </w:rPr>
              <w:t xml:space="preserve"> </w:t>
            </w:r>
            <w:proofErr w:type="spellStart"/>
            <w:r w:rsidR="00DA0EE2" w:rsidRPr="00680951">
              <w:rPr>
                <w:bCs/>
              </w:rPr>
              <w:t>şi</w:t>
            </w:r>
            <w:proofErr w:type="spellEnd"/>
            <w:r w:rsidR="00DA0EE2" w:rsidRPr="00680951">
              <w:rPr>
                <w:bCs/>
              </w:rPr>
              <w:t xml:space="preserve"> </w:t>
            </w:r>
            <w:proofErr w:type="spellStart"/>
            <w:r w:rsidR="00DA0EE2" w:rsidRPr="00680951">
              <w:rPr>
                <w:bCs/>
              </w:rPr>
              <w:t>locuinţe</w:t>
            </w:r>
            <w:proofErr w:type="spellEnd"/>
            <w:r w:rsidR="00DA0EE2" w:rsidRPr="00680951">
              <w:rPr>
                <w:bCs/>
              </w:rPr>
              <w:t xml:space="preserve"> protejate</w:t>
            </w:r>
            <w:r w:rsidR="00DA0EE2" w:rsidRPr="00680951">
              <w:rPr>
                <w:color w:val="666666"/>
                <w:shd w:val="clear" w:color="auto" w:fill="FFFFFF"/>
              </w:rPr>
              <w:t xml:space="preserve"> </w:t>
            </w:r>
            <w:r w:rsidR="00DA0EE2" w:rsidRPr="00680951">
              <w:rPr>
                <w:shd w:val="clear" w:color="auto" w:fill="FFFFFF"/>
              </w:rPr>
              <w:t>pentru persoane adulte cu dizabilități</w:t>
            </w:r>
            <w:r w:rsidRPr="00680951">
              <w:rPr>
                <w:shd w:val="clear" w:color="auto" w:fill="FFFFFF"/>
              </w:rPr>
              <w:t>, pentru perioada 201</w:t>
            </w:r>
            <w:r w:rsidR="00603261">
              <w:rPr>
                <w:shd w:val="clear" w:color="auto" w:fill="FFFFFF"/>
              </w:rPr>
              <w:t>9</w:t>
            </w:r>
            <w:r w:rsidRPr="00680951">
              <w:rPr>
                <w:shd w:val="clear" w:color="auto" w:fill="FFFFFF"/>
              </w:rPr>
              <w:t>-202</w:t>
            </w:r>
            <w:r w:rsidR="00D64C0A">
              <w:rPr>
                <w:shd w:val="clear" w:color="auto" w:fill="FFFFFF"/>
              </w:rPr>
              <w:t>1</w:t>
            </w:r>
            <w:r w:rsidR="00324050">
              <w:rPr>
                <w:shd w:val="clear" w:color="auto" w:fill="FFFFFF"/>
              </w:rPr>
              <w:t xml:space="preserve">, precum și </w:t>
            </w:r>
            <w:r w:rsidR="009549FC" w:rsidRPr="009549FC">
              <w:rPr>
                <w:shd w:val="clear" w:color="auto" w:fill="FFFFFF"/>
              </w:rPr>
              <w:t>dezv</w:t>
            </w:r>
            <w:r w:rsidR="00324050">
              <w:rPr>
                <w:shd w:val="clear" w:color="auto" w:fill="FFFFFF"/>
              </w:rPr>
              <w:t>oltarea</w:t>
            </w:r>
            <w:r w:rsidR="009549FC" w:rsidRPr="009549FC">
              <w:rPr>
                <w:shd w:val="clear" w:color="auto" w:fill="FFFFFF"/>
              </w:rPr>
              <w:t xml:space="preserve"> </w:t>
            </w:r>
            <w:proofErr w:type="spellStart"/>
            <w:r w:rsidR="009549FC" w:rsidRPr="009549FC">
              <w:rPr>
                <w:shd w:val="clear" w:color="auto" w:fill="FFFFFF"/>
              </w:rPr>
              <w:t>reţelei</w:t>
            </w:r>
            <w:proofErr w:type="spellEnd"/>
            <w:r w:rsidR="009549FC" w:rsidRPr="009549FC">
              <w:rPr>
                <w:shd w:val="clear" w:color="auto" w:fill="FFFFFF"/>
              </w:rPr>
              <w:t xml:space="preserve"> de servicii sociale de tip centre de zi </w:t>
            </w:r>
            <w:proofErr w:type="spellStart"/>
            <w:r w:rsidR="009549FC" w:rsidRPr="009549FC">
              <w:rPr>
                <w:shd w:val="clear" w:color="auto" w:fill="FFFFFF"/>
              </w:rPr>
              <w:t>şi</w:t>
            </w:r>
            <w:proofErr w:type="spellEnd"/>
            <w:r w:rsidR="009549FC" w:rsidRPr="009549FC">
              <w:rPr>
                <w:shd w:val="clear" w:color="auto" w:fill="FFFFFF"/>
              </w:rPr>
              <w:t xml:space="preserve"> </w:t>
            </w:r>
            <w:proofErr w:type="spellStart"/>
            <w:r w:rsidR="009549FC" w:rsidRPr="009549FC">
              <w:rPr>
                <w:shd w:val="clear" w:color="auto" w:fill="FFFFFF"/>
              </w:rPr>
              <w:t>locuinţe</w:t>
            </w:r>
            <w:proofErr w:type="spellEnd"/>
            <w:r w:rsidR="009549FC" w:rsidRPr="009549FC">
              <w:rPr>
                <w:shd w:val="clear" w:color="auto" w:fill="FFFFFF"/>
              </w:rPr>
              <w:t xml:space="preserve"> protejate pentru tinerii cu dizabilități proveniți din sistemul de protecție socială a copilului, precum și pentru prevenirea instituționalizării persoanelor adulte cu dizabilități din comunitate.</w:t>
            </w:r>
          </w:p>
          <w:p w:rsidR="00C60D51" w:rsidRPr="00680951" w:rsidRDefault="008B22C2" w:rsidP="00D64C0A">
            <w:pPr>
              <w:spacing w:line="276" w:lineRule="auto"/>
              <w:ind w:firstLine="360"/>
              <w:jc w:val="both"/>
            </w:pPr>
            <w:r>
              <w:rPr>
                <w:bCs/>
              </w:rPr>
              <w:t>Prin pr</w:t>
            </w:r>
            <w:r w:rsidR="00D64C0A">
              <w:rPr>
                <w:bCs/>
              </w:rPr>
              <w:t>ezentul proiect de act normativ</w:t>
            </w:r>
            <w:r w:rsidR="00146789" w:rsidRPr="00680951">
              <w:rPr>
                <w:bCs/>
              </w:rPr>
              <w:t xml:space="preserve"> se propune modificarea </w:t>
            </w:r>
            <w:r w:rsidRPr="008501EF">
              <w:t>Anex</w:t>
            </w:r>
            <w:r>
              <w:t>ei</w:t>
            </w:r>
            <w:r w:rsidRPr="008501EF">
              <w:t xml:space="preserve"> la Hotărârea Guvernului nr. 798/2016</w:t>
            </w:r>
            <w:r w:rsidR="00C60D51">
              <w:t xml:space="preserve">, </w:t>
            </w:r>
            <w:r w:rsidR="00C60D51" w:rsidRPr="00680951">
              <w:rPr>
                <w:bCs/>
              </w:rPr>
              <w:t xml:space="preserve">astfel încât </w:t>
            </w:r>
            <w:r w:rsidR="00D64C0A" w:rsidRPr="00680951">
              <w:t xml:space="preserve">perioada de derulare și bugetul </w:t>
            </w:r>
            <w:r w:rsidR="00D64C0A">
              <w:t>aferent</w:t>
            </w:r>
            <w:r w:rsidR="00C60D51" w:rsidRPr="00680951">
              <w:rPr>
                <w:bCs/>
              </w:rPr>
              <w:t xml:space="preserve"> programul</w:t>
            </w:r>
            <w:r w:rsidR="00D64C0A">
              <w:rPr>
                <w:bCs/>
              </w:rPr>
              <w:t>ui</w:t>
            </w:r>
            <w:r w:rsidR="00C60D51" w:rsidRPr="00680951">
              <w:rPr>
                <w:bCs/>
              </w:rPr>
              <w:t xml:space="preserve"> de interes </w:t>
            </w:r>
            <w:proofErr w:type="spellStart"/>
            <w:r w:rsidR="00C60D51" w:rsidRPr="00680951">
              <w:rPr>
                <w:bCs/>
              </w:rPr>
              <w:t>naţional</w:t>
            </w:r>
            <w:proofErr w:type="spellEnd"/>
            <w:r w:rsidR="00C60D51" w:rsidRPr="00680951">
              <w:rPr>
                <w:bCs/>
              </w:rPr>
              <w:t xml:space="preserve"> „</w:t>
            </w:r>
            <w:proofErr w:type="spellStart"/>
            <w:r w:rsidR="00C60D51" w:rsidRPr="00680951">
              <w:rPr>
                <w:bCs/>
              </w:rPr>
              <w:t>Înfiinţarea</w:t>
            </w:r>
            <w:proofErr w:type="spellEnd"/>
            <w:r w:rsidR="00C60D51" w:rsidRPr="00680951">
              <w:rPr>
                <w:bCs/>
              </w:rPr>
              <w:t xml:space="preserve"> de servicii sociale de tip centre de zi, centre respiro/ centre de criză </w:t>
            </w:r>
            <w:proofErr w:type="spellStart"/>
            <w:r w:rsidR="00C60D51" w:rsidRPr="00680951">
              <w:rPr>
                <w:bCs/>
              </w:rPr>
              <w:t>şi</w:t>
            </w:r>
            <w:proofErr w:type="spellEnd"/>
            <w:r w:rsidR="00C60D51" w:rsidRPr="00680951">
              <w:rPr>
                <w:bCs/>
              </w:rPr>
              <w:t xml:space="preserve"> </w:t>
            </w:r>
            <w:proofErr w:type="spellStart"/>
            <w:r w:rsidR="00C60D51" w:rsidRPr="00680951">
              <w:rPr>
                <w:bCs/>
              </w:rPr>
              <w:t>locuinţe</w:t>
            </w:r>
            <w:proofErr w:type="spellEnd"/>
            <w:r w:rsidR="00C60D51" w:rsidRPr="00680951">
              <w:rPr>
                <w:bCs/>
              </w:rPr>
              <w:t xml:space="preserve"> protejate în vederea </w:t>
            </w:r>
            <w:proofErr w:type="spellStart"/>
            <w:r w:rsidR="00C60D51" w:rsidRPr="00680951">
              <w:rPr>
                <w:bCs/>
              </w:rPr>
              <w:t>dezinstituţionalizării</w:t>
            </w:r>
            <w:proofErr w:type="spellEnd"/>
            <w:r w:rsidR="00C60D51" w:rsidRPr="00680951">
              <w:rPr>
                <w:bCs/>
              </w:rPr>
              <w:t xml:space="preserve"> persoanelor cu </w:t>
            </w:r>
            <w:proofErr w:type="spellStart"/>
            <w:r w:rsidR="00C60D51" w:rsidRPr="00680951">
              <w:rPr>
                <w:bCs/>
              </w:rPr>
              <w:t>dizabilităţi</w:t>
            </w:r>
            <w:proofErr w:type="spellEnd"/>
            <w:r w:rsidR="00C60D51" w:rsidRPr="00680951">
              <w:rPr>
                <w:bCs/>
              </w:rPr>
              <w:t xml:space="preserve"> aflate în </w:t>
            </w:r>
            <w:proofErr w:type="spellStart"/>
            <w:r w:rsidR="00C60D51" w:rsidRPr="00680951">
              <w:rPr>
                <w:bCs/>
              </w:rPr>
              <w:t>instituţii</w:t>
            </w:r>
            <w:proofErr w:type="spellEnd"/>
            <w:r w:rsidR="00C60D51" w:rsidRPr="00680951">
              <w:rPr>
                <w:bCs/>
              </w:rPr>
              <w:t xml:space="preserve"> de tip vechi </w:t>
            </w:r>
            <w:proofErr w:type="spellStart"/>
            <w:r w:rsidR="00C60D51" w:rsidRPr="00680951">
              <w:rPr>
                <w:bCs/>
              </w:rPr>
              <w:t>şi</w:t>
            </w:r>
            <w:proofErr w:type="spellEnd"/>
            <w:r w:rsidR="00C60D51" w:rsidRPr="00680951">
              <w:rPr>
                <w:bCs/>
              </w:rPr>
              <w:t xml:space="preserve"> pentru prevenirea </w:t>
            </w:r>
            <w:proofErr w:type="spellStart"/>
            <w:r w:rsidR="00C60D51" w:rsidRPr="00680951">
              <w:rPr>
                <w:bCs/>
              </w:rPr>
              <w:t>instituţionalizării</w:t>
            </w:r>
            <w:proofErr w:type="spellEnd"/>
            <w:r w:rsidR="00C60D51" w:rsidRPr="00680951">
              <w:rPr>
                <w:bCs/>
              </w:rPr>
              <w:t xml:space="preserve"> persoanelor </w:t>
            </w:r>
            <w:r w:rsidR="00D64C0A">
              <w:rPr>
                <w:bCs/>
              </w:rPr>
              <w:t xml:space="preserve">cu </w:t>
            </w:r>
            <w:proofErr w:type="spellStart"/>
            <w:r w:rsidR="00D64C0A">
              <w:rPr>
                <w:bCs/>
              </w:rPr>
              <w:t>dizabilităţi</w:t>
            </w:r>
            <w:proofErr w:type="spellEnd"/>
            <w:r w:rsidR="00D64C0A">
              <w:rPr>
                <w:bCs/>
              </w:rPr>
              <w:t xml:space="preserve"> din comunitate” </w:t>
            </w:r>
            <w:r w:rsidR="00C60D51">
              <w:t>se vor modifica astfel:</w:t>
            </w:r>
          </w:p>
          <w:p w:rsidR="00C60D51" w:rsidRDefault="00C60D51" w:rsidP="00C60D51">
            <w:pPr>
              <w:spacing w:line="276" w:lineRule="auto"/>
              <w:ind w:firstLine="360"/>
              <w:jc w:val="both"/>
            </w:pPr>
            <w:r>
              <w:t>Perioadă de derulare</w:t>
            </w:r>
          </w:p>
          <w:p w:rsidR="00C60D51" w:rsidRDefault="00C60D51" w:rsidP="00C60D51">
            <w:pPr>
              <w:spacing w:line="276" w:lineRule="auto"/>
              <w:ind w:firstLine="360"/>
              <w:jc w:val="both"/>
            </w:pPr>
            <w:r>
              <w:t xml:space="preserve">Programul se derulează pe o perioadă de </w:t>
            </w:r>
            <w:r w:rsidR="006B333E">
              <w:t>4</w:t>
            </w:r>
            <w:r>
              <w:t xml:space="preserve"> ani, respectiv 201</w:t>
            </w:r>
            <w:r w:rsidR="00041C72">
              <w:t>8</w:t>
            </w:r>
            <w:r>
              <w:t xml:space="preserve"> - 202</w:t>
            </w:r>
            <w:r w:rsidR="00D64C0A">
              <w:t>1</w:t>
            </w:r>
            <w:r>
              <w:t>.</w:t>
            </w:r>
          </w:p>
          <w:p w:rsidR="00C60D51" w:rsidRDefault="00C60D51" w:rsidP="00C60D51">
            <w:pPr>
              <w:spacing w:line="276" w:lineRule="auto"/>
              <w:ind w:firstLine="360"/>
              <w:jc w:val="both"/>
            </w:pPr>
            <w:r>
              <w:t>Buget</w:t>
            </w:r>
          </w:p>
          <w:p w:rsidR="00C60D51" w:rsidRPr="00A72E2D" w:rsidRDefault="00C60D51" w:rsidP="00C60D51">
            <w:pPr>
              <w:spacing w:line="276" w:lineRule="auto"/>
              <w:ind w:firstLine="360"/>
              <w:jc w:val="both"/>
            </w:pPr>
            <w:r>
              <w:t xml:space="preserve">Bugetul </w:t>
            </w:r>
            <w:r w:rsidRPr="00A72E2D">
              <w:t xml:space="preserve">aferent acestui program de interes </w:t>
            </w:r>
            <w:proofErr w:type="spellStart"/>
            <w:r w:rsidRPr="00A72E2D">
              <w:t>naţional</w:t>
            </w:r>
            <w:proofErr w:type="spellEnd"/>
            <w:r w:rsidRPr="00A72E2D">
              <w:t xml:space="preserve"> este de 74.507 mii lei, din care:</w:t>
            </w:r>
          </w:p>
          <w:p w:rsidR="00041C72" w:rsidRPr="00A72E2D" w:rsidRDefault="00C60D51" w:rsidP="00C60D51">
            <w:pPr>
              <w:spacing w:line="276" w:lineRule="auto"/>
              <w:ind w:firstLine="360"/>
              <w:jc w:val="both"/>
            </w:pPr>
            <w:r w:rsidRPr="00A72E2D">
              <w:t xml:space="preserve">- </w:t>
            </w:r>
            <w:r w:rsidR="00041C72" w:rsidRPr="00A72E2D">
              <w:t>0</w:t>
            </w:r>
            <w:r w:rsidR="0011029F" w:rsidRPr="00A72E2D">
              <w:t xml:space="preserve"> mii</w:t>
            </w:r>
            <w:r w:rsidR="00041C72" w:rsidRPr="00A72E2D">
              <w:t xml:space="preserve"> lei în anul 2018</w:t>
            </w:r>
            <w:r w:rsidR="0011029F" w:rsidRPr="00A72E2D">
              <w:t>;</w:t>
            </w:r>
          </w:p>
          <w:p w:rsidR="00C60D51" w:rsidRPr="00A72E2D" w:rsidRDefault="00041C72" w:rsidP="00C60D51">
            <w:pPr>
              <w:spacing w:line="276" w:lineRule="auto"/>
              <w:ind w:firstLine="360"/>
              <w:jc w:val="both"/>
            </w:pPr>
            <w:r w:rsidRPr="00A72E2D">
              <w:t xml:space="preserve">- </w:t>
            </w:r>
            <w:r w:rsidR="00A72E2D" w:rsidRPr="00A72E2D">
              <w:t>1.505</w:t>
            </w:r>
            <w:r w:rsidR="00C60D51" w:rsidRPr="00A72E2D">
              <w:t xml:space="preserve"> mii lei în anul 2019;</w:t>
            </w:r>
          </w:p>
          <w:p w:rsidR="00D64C0A" w:rsidRPr="00A72E2D" w:rsidRDefault="00C60D51">
            <w:pPr>
              <w:spacing w:line="276" w:lineRule="auto"/>
              <w:ind w:firstLine="360"/>
              <w:jc w:val="both"/>
            </w:pPr>
            <w:r w:rsidRPr="00A72E2D">
              <w:t xml:space="preserve">- </w:t>
            </w:r>
            <w:r w:rsidR="00A72E2D" w:rsidRPr="00A72E2D">
              <w:t>39.200</w:t>
            </w:r>
            <w:r w:rsidRPr="00A72E2D">
              <w:t xml:space="preserve"> mii lei în anul 2020</w:t>
            </w:r>
            <w:r w:rsidR="00D64C0A" w:rsidRPr="00A72E2D">
              <w:t>;</w:t>
            </w:r>
          </w:p>
          <w:p w:rsidR="00A72E2D" w:rsidRDefault="00A72E2D" w:rsidP="00A72E2D">
            <w:pPr>
              <w:spacing w:line="276" w:lineRule="auto"/>
              <w:ind w:firstLine="360"/>
              <w:jc w:val="both"/>
            </w:pPr>
            <w:r>
              <w:t>-</w:t>
            </w:r>
            <w:r w:rsidR="00D64C0A" w:rsidRPr="00A72E2D">
              <w:t xml:space="preserve"> </w:t>
            </w:r>
            <w:r w:rsidRPr="00A72E2D">
              <w:t xml:space="preserve">33.802 </w:t>
            </w:r>
            <w:r w:rsidR="00D64C0A" w:rsidRPr="00A72E2D">
              <w:t>mii lei în anul 2021.</w:t>
            </w:r>
          </w:p>
          <w:p w:rsidR="009549FC" w:rsidRPr="00680951" w:rsidRDefault="009549FC" w:rsidP="009549FC">
            <w:pPr>
              <w:spacing w:line="276" w:lineRule="auto"/>
              <w:ind w:firstLine="360"/>
              <w:jc w:val="both"/>
              <w:rPr>
                <w:bCs/>
              </w:rPr>
            </w:pPr>
            <w:r w:rsidRPr="00680951">
              <w:rPr>
                <w:bCs/>
              </w:rPr>
              <w:t xml:space="preserve">De centrele de zi vor beneficia persoane cu </w:t>
            </w:r>
            <w:proofErr w:type="spellStart"/>
            <w:r w:rsidRPr="00680951">
              <w:rPr>
                <w:bCs/>
              </w:rPr>
              <w:t>dizabilităţi</w:t>
            </w:r>
            <w:proofErr w:type="spellEnd"/>
            <w:r w:rsidRPr="00680951">
              <w:rPr>
                <w:bCs/>
              </w:rPr>
              <w:t xml:space="preserve"> care vor fi </w:t>
            </w:r>
            <w:proofErr w:type="spellStart"/>
            <w:r w:rsidRPr="00680951">
              <w:rPr>
                <w:bCs/>
              </w:rPr>
              <w:t>dezinstituţionalizate</w:t>
            </w:r>
            <w:proofErr w:type="spellEnd"/>
            <w:r w:rsidRPr="00680951">
              <w:rPr>
                <w:bCs/>
              </w:rPr>
              <w:t xml:space="preserve"> din </w:t>
            </w:r>
            <w:r w:rsidRPr="00680951">
              <w:rPr>
                <w:rFonts w:eastAsia="Calibri"/>
              </w:rPr>
              <w:t xml:space="preserve">structurile de tip vechi </w:t>
            </w:r>
            <w:r w:rsidRPr="00680951">
              <w:rPr>
                <w:bCs/>
              </w:rPr>
              <w:t xml:space="preserve">precum </w:t>
            </w:r>
            <w:proofErr w:type="spellStart"/>
            <w:r w:rsidRPr="00680951">
              <w:rPr>
                <w:bCs/>
              </w:rPr>
              <w:t>şi</w:t>
            </w:r>
            <w:proofErr w:type="spellEnd"/>
            <w:r w:rsidRPr="00680951">
              <w:rPr>
                <w:bCs/>
              </w:rPr>
              <w:t xml:space="preserve"> persoane cu </w:t>
            </w:r>
            <w:proofErr w:type="spellStart"/>
            <w:r w:rsidRPr="00680951">
              <w:rPr>
                <w:bCs/>
              </w:rPr>
              <w:t>dizabilităţi</w:t>
            </w:r>
            <w:proofErr w:type="spellEnd"/>
            <w:r w:rsidRPr="00680951">
              <w:rPr>
                <w:bCs/>
              </w:rPr>
              <w:t xml:space="preserve"> din </w:t>
            </w:r>
            <w:proofErr w:type="spellStart"/>
            <w:r w:rsidRPr="00680951">
              <w:rPr>
                <w:bCs/>
              </w:rPr>
              <w:t>comunităţile</w:t>
            </w:r>
            <w:proofErr w:type="spellEnd"/>
            <w:r w:rsidRPr="00680951">
              <w:rPr>
                <w:bCs/>
              </w:rPr>
              <w:t xml:space="preserve"> respective, cărora în prezent nu li se oferă servicii prin care să se prevină </w:t>
            </w:r>
            <w:proofErr w:type="spellStart"/>
            <w:r w:rsidRPr="00680951">
              <w:rPr>
                <w:bCs/>
              </w:rPr>
              <w:t>instituţionalizarea</w:t>
            </w:r>
            <w:proofErr w:type="spellEnd"/>
            <w:r w:rsidRPr="00680951">
              <w:rPr>
                <w:bCs/>
              </w:rPr>
              <w:t>.</w:t>
            </w:r>
          </w:p>
          <w:p w:rsidR="009549FC" w:rsidRPr="00680951" w:rsidRDefault="009549FC" w:rsidP="009549FC">
            <w:pPr>
              <w:spacing w:line="276" w:lineRule="auto"/>
              <w:ind w:firstLine="360"/>
              <w:jc w:val="both"/>
              <w:rPr>
                <w:bCs/>
              </w:rPr>
            </w:pPr>
            <w:r w:rsidRPr="00680951">
              <w:rPr>
                <w:bCs/>
              </w:rPr>
              <w:t xml:space="preserve">De centrele respiro vor beneficia persoane cu </w:t>
            </w:r>
            <w:proofErr w:type="spellStart"/>
            <w:r w:rsidRPr="00680951">
              <w:rPr>
                <w:bCs/>
              </w:rPr>
              <w:t>dizabilităţi</w:t>
            </w:r>
            <w:proofErr w:type="spellEnd"/>
            <w:r w:rsidRPr="00680951">
              <w:rPr>
                <w:bCs/>
              </w:rPr>
              <w:t xml:space="preserve"> din </w:t>
            </w:r>
            <w:proofErr w:type="spellStart"/>
            <w:r w:rsidRPr="00680951">
              <w:rPr>
                <w:bCs/>
              </w:rPr>
              <w:t>comunităţile</w:t>
            </w:r>
            <w:proofErr w:type="spellEnd"/>
            <w:r w:rsidRPr="00680951">
              <w:rPr>
                <w:bCs/>
              </w:rPr>
              <w:t xml:space="preserve"> respective, cărora în prezent nu li se oferă servicii prin care să se prevină </w:t>
            </w:r>
            <w:proofErr w:type="spellStart"/>
            <w:r w:rsidRPr="00680951">
              <w:rPr>
                <w:bCs/>
              </w:rPr>
              <w:t>instituţionalizarea</w:t>
            </w:r>
            <w:proofErr w:type="spellEnd"/>
            <w:r w:rsidRPr="00680951">
              <w:rPr>
                <w:bCs/>
              </w:rPr>
              <w:t>.</w:t>
            </w:r>
          </w:p>
          <w:p w:rsidR="00C60D51" w:rsidRDefault="009549FC">
            <w:pPr>
              <w:spacing w:line="276" w:lineRule="auto"/>
              <w:ind w:firstLine="360"/>
              <w:jc w:val="both"/>
              <w:rPr>
                <w:bCs/>
              </w:rPr>
            </w:pPr>
            <w:r w:rsidRPr="00680951">
              <w:rPr>
                <w:bCs/>
              </w:rPr>
              <w:t xml:space="preserve">Prin programul de interes </w:t>
            </w:r>
            <w:proofErr w:type="spellStart"/>
            <w:r w:rsidRPr="00680951">
              <w:rPr>
                <w:bCs/>
              </w:rPr>
              <w:t>naţional</w:t>
            </w:r>
            <w:proofErr w:type="spellEnd"/>
            <w:r w:rsidRPr="00680951">
              <w:rPr>
                <w:bCs/>
              </w:rPr>
              <w:t xml:space="preserve"> se propune dezvoltarea de </w:t>
            </w:r>
            <w:proofErr w:type="spellStart"/>
            <w:r w:rsidRPr="00680951">
              <w:rPr>
                <w:bCs/>
              </w:rPr>
              <w:t>locuinţe</w:t>
            </w:r>
            <w:proofErr w:type="spellEnd"/>
            <w:r w:rsidRPr="00680951">
              <w:rPr>
                <w:bCs/>
              </w:rPr>
              <w:t xml:space="preserve"> protejate care facilitează procesul de integrare în comunitate </w:t>
            </w:r>
            <w:proofErr w:type="spellStart"/>
            <w:r w:rsidRPr="00680951">
              <w:rPr>
                <w:bCs/>
              </w:rPr>
              <w:t>facând</w:t>
            </w:r>
            <w:proofErr w:type="spellEnd"/>
            <w:r w:rsidRPr="00680951">
              <w:rPr>
                <w:bCs/>
              </w:rPr>
              <w:t xml:space="preserve"> </w:t>
            </w:r>
            <w:proofErr w:type="spellStart"/>
            <w:r w:rsidRPr="00680951">
              <w:rPr>
                <w:bCs/>
              </w:rPr>
              <w:t>tranziţia</w:t>
            </w:r>
            <w:proofErr w:type="spellEnd"/>
            <w:r w:rsidRPr="00680951">
              <w:rPr>
                <w:bCs/>
              </w:rPr>
              <w:t xml:space="preserve"> de la </w:t>
            </w:r>
            <w:proofErr w:type="spellStart"/>
            <w:r w:rsidRPr="00680951">
              <w:rPr>
                <w:bCs/>
              </w:rPr>
              <w:t>instituţiile</w:t>
            </w:r>
            <w:proofErr w:type="spellEnd"/>
            <w:r w:rsidRPr="00680951">
              <w:rPr>
                <w:bCs/>
              </w:rPr>
              <w:t xml:space="preserve"> de tip vechi, prin dobândirea de deprinderi, </w:t>
            </w:r>
            <w:proofErr w:type="spellStart"/>
            <w:r w:rsidRPr="00680951">
              <w:rPr>
                <w:bCs/>
              </w:rPr>
              <w:t>competenţe</w:t>
            </w:r>
            <w:proofErr w:type="spellEnd"/>
            <w:r w:rsidRPr="00680951">
              <w:rPr>
                <w:bCs/>
              </w:rPr>
              <w:t xml:space="preserve"> </w:t>
            </w:r>
            <w:proofErr w:type="spellStart"/>
            <w:r w:rsidRPr="00680951">
              <w:rPr>
                <w:bCs/>
              </w:rPr>
              <w:t>şi</w:t>
            </w:r>
            <w:proofErr w:type="spellEnd"/>
            <w:r w:rsidRPr="00680951">
              <w:rPr>
                <w:bCs/>
              </w:rPr>
              <w:t xml:space="preserve"> </w:t>
            </w:r>
            <w:proofErr w:type="spellStart"/>
            <w:r w:rsidRPr="00680951">
              <w:rPr>
                <w:bCs/>
              </w:rPr>
              <w:t>abilităţi</w:t>
            </w:r>
            <w:proofErr w:type="spellEnd"/>
            <w:r w:rsidRPr="00680951">
              <w:rPr>
                <w:bCs/>
              </w:rPr>
              <w:t xml:space="preserve"> necesare integrării.</w:t>
            </w:r>
          </w:p>
          <w:p w:rsidR="009549FC" w:rsidRPr="00680951" w:rsidRDefault="00C60D51" w:rsidP="00D64C0A">
            <w:pPr>
              <w:spacing w:line="276" w:lineRule="auto"/>
              <w:ind w:firstLine="360"/>
              <w:jc w:val="both"/>
            </w:pPr>
            <w:r>
              <w:t xml:space="preserve">De asemenea </w:t>
            </w:r>
            <w:r w:rsidRPr="00680951">
              <w:rPr>
                <w:bCs/>
              </w:rPr>
              <w:t>se propune modificarea</w:t>
            </w:r>
            <w:r>
              <w:t xml:space="preserve"> </w:t>
            </w:r>
            <w:r w:rsidR="00D64C0A">
              <w:t>A</w:t>
            </w:r>
            <w:r>
              <w:t xml:space="preserve">nexei la Hotărârea Guvernului nr. 193/2018 </w:t>
            </w:r>
            <w:r w:rsidRPr="00680951">
              <w:rPr>
                <w:bCs/>
              </w:rPr>
              <w:t xml:space="preserve">astfel încât </w:t>
            </w:r>
            <w:r w:rsidR="00D64C0A" w:rsidRPr="00680951">
              <w:t xml:space="preserve">perioada de derulare și bugetul </w:t>
            </w:r>
            <w:r w:rsidR="00D64C0A">
              <w:t>aferent</w:t>
            </w:r>
            <w:r w:rsidRPr="00680951">
              <w:rPr>
                <w:bCs/>
              </w:rPr>
              <w:t xml:space="preserve"> programul</w:t>
            </w:r>
            <w:r w:rsidR="00D64C0A">
              <w:rPr>
                <w:bCs/>
              </w:rPr>
              <w:t>ui</w:t>
            </w:r>
            <w:r w:rsidRPr="00680951">
              <w:rPr>
                <w:bCs/>
              </w:rPr>
              <w:t xml:space="preserve"> de interes </w:t>
            </w:r>
            <w:proofErr w:type="spellStart"/>
            <w:r w:rsidRPr="00680951">
              <w:rPr>
                <w:bCs/>
              </w:rPr>
              <w:t>naţional</w:t>
            </w:r>
            <w:proofErr w:type="spellEnd"/>
            <w:r w:rsidRPr="00680951">
              <w:rPr>
                <w:bCs/>
              </w:rPr>
              <w:t xml:space="preserve"> </w:t>
            </w:r>
            <w:r w:rsidRPr="007A3B46">
              <w:t>„</w:t>
            </w:r>
            <w:proofErr w:type="spellStart"/>
            <w:r w:rsidRPr="007A3B46">
              <w:t>Înfiinţarea</w:t>
            </w:r>
            <w:proofErr w:type="spellEnd"/>
            <w:r w:rsidRPr="007A3B46">
              <w:t xml:space="preserve"> de servicii sociale în vederea asigurării tranziției tinerilor cu dizabilități de la sistemul de protecție specială a copilului către sistemul de protecție a persoanelor adulte cu dizabilități”</w:t>
            </w:r>
            <w:r w:rsidRPr="00680951">
              <w:rPr>
                <w:bCs/>
              </w:rPr>
              <w:t xml:space="preserve"> </w:t>
            </w:r>
            <w:r w:rsidR="009549FC">
              <w:t>se vor modifica astfel:</w:t>
            </w:r>
          </w:p>
          <w:p w:rsidR="00C60D51" w:rsidRPr="00A72E2D" w:rsidRDefault="00C60D51" w:rsidP="00C60D51">
            <w:pPr>
              <w:spacing w:line="276" w:lineRule="auto"/>
              <w:ind w:firstLine="360"/>
              <w:jc w:val="both"/>
            </w:pPr>
            <w:r>
              <w:t xml:space="preserve">Perioadă </w:t>
            </w:r>
            <w:r w:rsidRPr="00A72E2D">
              <w:t>de derulare</w:t>
            </w:r>
          </w:p>
          <w:p w:rsidR="00C60D51" w:rsidRPr="00A72E2D" w:rsidRDefault="00C60D51" w:rsidP="00C60D51">
            <w:pPr>
              <w:spacing w:line="276" w:lineRule="auto"/>
              <w:ind w:firstLine="360"/>
              <w:jc w:val="both"/>
            </w:pPr>
            <w:r w:rsidRPr="00A72E2D">
              <w:lastRenderedPageBreak/>
              <w:t xml:space="preserve">Programul se derulează pe o perioadă de </w:t>
            </w:r>
            <w:r w:rsidR="006B333E" w:rsidRPr="00A72E2D">
              <w:t>4</w:t>
            </w:r>
            <w:r w:rsidRPr="00A72E2D">
              <w:t xml:space="preserve"> ani, respectiv 201</w:t>
            </w:r>
            <w:r w:rsidR="00041C72" w:rsidRPr="00A72E2D">
              <w:t>8</w:t>
            </w:r>
            <w:r w:rsidRPr="00A72E2D">
              <w:t xml:space="preserve"> - 202</w:t>
            </w:r>
            <w:r w:rsidR="00D64C0A" w:rsidRPr="00A72E2D">
              <w:t>1</w:t>
            </w:r>
            <w:r w:rsidRPr="00A72E2D">
              <w:t>.</w:t>
            </w:r>
          </w:p>
          <w:p w:rsidR="00C60D51" w:rsidRPr="00A72E2D" w:rsidRDefault="00C60D51" w:rsidP="00C60D51">
            <w:pPr>
              <w:spacing w:line="276" w:lineRule="auto"/>
              <w:ind w:firstLine="360"/>
              <w:jc w:val="both"/>
            </w:pPr>
            <w:r w:rsidRPr="00A72E2D">
              <w:t>Buget</w:t>
            </w:r>
          </w:p>
          <w:p w:rsidR="00D86750" w:rsidRPr="00A72E2D" w:rsidRDefault="00C60D51" w:rsidP="00D86750">
            <w:pPr>
              <w:spacing w:line="276" w:lineRule="auto"/>
              <w:ind w:firstLine="360"/>
              <w:jc w:val="both"/>
            </w:pPr>
            <w:r w:rsidRPr="00A72E2D">
              <w:t xml:space="preserve">Bugetul aferent acestui program de interes </w:t>
            </w:r>
            <w:proofErr w:type="spellStart"/>
            <w:r w:rsidRPr="00A72E2D">
              <w:t>naţional</w:t>
            </w:r>
            <w:proofErr w:type="spellEnd"/>
            <w:r w:rsidRPr="00A72E2D">
              <w:t xml:space="preserve"> este de 34.778 mii lei, din care:</w:t>
            </w:r>
          </w:p>
          <w:p w:rsidR="00D86750" w:rsidRPr="00A72E2D" w:rsidRDefault="00D86750" w:rsidP="00D86750">
            <w:pPr>
              <w:spacing w:line="276" w:lineRule="auto"/>
              <w:ind w:firstLine="360"/>
              <w:jc w:val="both"/>
            </w:pPr>
            <w:r w:rsidRPr="00A72E2D">
              <w:t>- 0 mii lei în anul 2018;</w:t>
            </w:r>
          </w:p>
          <w:p w:rsidR="00D86750" w:rsidRPr="00A72E2D" w:rsidRDefault="00D86750" w:rsidP="00D86750">
            <w:pPr>
              <w:spacing w:line="276" w:lineRule="auto"/>
              <w:ind w:firstLine="360"/>
              <w:jc w:val="both"/>
            </w:pPr>
            <w:r w:rsidRPr="00A72E2D">
              <w:t>- 0 mii lei în anul 2019;</w:t>
            </w:r>
          </w:p>
          <w:p w:rsidR="00D86750" w:rsidRPr="00A72E2D" w:rsidRDefault="00D86750" w:rsidP="00D86750">
            <w:pPr>
              <w:spacing w:line="276" w:lineRule="auto"/>
              <w:ind w:firstLine="360"/>
              <w:jc w:val="both"/>
            </w:pPr>
            <w:r w:rsidRPr="00A72E2D">
              <w:t>- 17.300 mii lei în anul 2020;</w:t>
            </w:r>
          </w:p>
          <w:p w:rsidR="00D86750" w:rsidRDefault="00D86750" w:rsidP="00D86750">
            <w:pPr>
              <w:spacing w:line="276" w:lineRule="auto"/>
              <w:ind w:firstLine="360"/>
              <w:jc w:val="both"/>
            </w:pPr>
            <w:r w:rsidRPr="00A72E2D">
              <w:t>- 17.478 mii lei în anul 2021.</w:t>
            </w:r>
          </w:p>
          <w:p w:rsidR="009549FC" w:rsidRPr="009549FC" w:rsidRDefault="009549FC" w:rsidP="00D86750">
            <w:pPr>
              <w:spacing w:line="276" w:lineRule="auto"/>
              <w:ind w:firstLine="360"/>
              <w:jc w:val="both"/>
              <w:rPr>
                <w:bCs/>
              </w:rPr>
            </w:pPr>
            <w:r w:rsidRPr="009549FC">
              <w:rPr>
                <w:bCs/>
              </w:rPr>
              <w:t xml:space="preserve">De centrele de zi vor beneficia tinerii cu dizabilități proveniți din sistemul de protecție socială a copilului, precum </w:t>
            </w:r>
            <w:proofErr w:type="spellStart"/>
            <w:r w:rsidRPr="009549FC">
              <w:rPr>
                <w:bCs/>
              </w:rPr>
              <w:t>şi</w:t>
            </w:r>
            <w:proofErr w:type="spellEnd"/>
            <w:r w:rsidRPr="009549FC">
              <w:rPr>
                <w:bCs/>
              </w:rPr>
              <w:t xml:space="preserve"> persoane cu </w:t>
            </w:r>
            <w:proofErr w:type="spellStart"/>
            <w:r w:rsidRPr="009549FC">
              <w:rPr>
                <w:bCs/>
              </w:rPr>
              <w:t>dizabilităţi</w:t>
            </w:r>
            <w:proofErr w:type="spellEnd"/>
            <w:r w:rsidRPr="009549FC">
              <w:rPr>
                <w:bCs/>
              </w:rPr>
              <w:t xml:space="preserve"> din </w:t>
            </w:r>
            <w:proofErr w:type="spellStart"/>
            <w:r w:rsidRPr="009549FC">
              <w:rPr>
                <w:bCs/>
              </w:rPr>
              <w:t>comunităţile</w:t>
            </w:r>
            <w:proofErr w:type="spellEnd"/>
            <w:r w:rsidRPr="009549FC">
              <w:rPr>
                <w:bCs/>
              </w:rPr>
              <w:t xml:space="preserve"> respective, cărora în prezent nu li se oferă servicii prin care să se prevină </w:t>
            </w:r>
            <w:proofErr w:type="spellStart"/>
            <w:r w:rsidRPr="009549FC">
              <w:rPr>
                <w:bCs/>
              </w:rPr>
              <w:t>instituţionalizarea</w:t>
            </w:r>
            <w:proofErr w:type="spellEnd"/>
            <w:r w:rsidRPr="009549FC">
              <w:rPr>
                <w:bCs/>
              </w:rPr>
              <w:t>.</w:t>
            </w:r>
          </w:p>
          <w:p w:rsidR="00115488" w:rsidRPr="00680951" w:rsidRDefault="009549FC" w:rsidP="006D2B0D">
            <w:pPr>
              <w:spacing w:line="276" w:lineRule="auto"/>
              <w:ind w:firstLine="360"/>
              <w:jc w:val="both"/>
              <w:rPr>
                <w:bCs/>
              </w:rPr>
            </w:pPr>
            <w:r w:rsidRPr="009549FC">
              <w:rPr>
                <w:bCs/>
              </w:rPr>
              <w:t xml:space="preserve">Prin programul de interes </w:t>
            </w:r>
            <w:proofErr w:type="spellStart"/>
            <w:r w:rsidRPr="009549FC">
              <w:rPr>
                <w:bCs/>
              </w:rPr>
              <w:t>naţional</w:t>
            </w:r>
            <w:proofErr w:type="spellEnd"/>
            <w:r w:rsidRPr="009549FC">
              <w:rPr>
                <w:bCs/>
              </w:rPr>
              <w:t xml:space="preserve"> se propune dezvoltarea de </w:t>
            </w:r>
            <w:proofErr w:type="spellStart"/>
            <w:r w:rsidRPr="009549FC">
              <w:rPr>
                <w:bCs/>
              </w:rPr>
              <w:t>locuinţe</w:t>
            </w:r>
            <w:proofErr w:type="spellEnd"/>
            <w:r w:rsidRPr="009549FC">
              <w:rPr>
                <w:bCs/>
              </w:rPr>
              <w:t xml:space="preserve"> protejate care facilitează procesul de integrare în comunitate </w:t>
            </w:r>
            <w:proofErr w:type="spellStart"/>
            <w:r w:rsidRPr="009549FC">
              <w:rPr>
                <w:bCs/>
              </w:rPr>
              <w:t>facând</w:t>
            </w:r>
            <w:proofErr w:type="spellEnd"/>
            <w:r w:rsidRPr="009549FC">
              <w:rPr>
                <w:bCs/>
              </w:rPr>
              <w:t xml:space="preserve"> </w:t>
            </w:r>
            <w:proofErr w:type="spellStart"/>
            <w:r w:rsidRPr="009549FC">
              <w:rPr>
                <w:bCs/>
              </w:rPr>
              <w:t>tranziţia</w:t>
            </w:r>
            <w:proofErr w:type="spellEnd"/>
            <w:r w:rsidRPr="009549FC">
              <w:rPr>
                <w:bCs/>
              </w:rPr>
              <w:t xml:space="preserve"> tinerilor cu dizabilități de la sistemul de protecție socială a copilului către sistemul de protecție a persoanelor adulte cu dizabilități, prin dobândirea de deprinderi, </w:t>
            </w:r>
            <w:proofErr w:type="spellStart"/>
            <w:r w:rsidRPr="009549FC">
              <w:rPr>
                <w:bCs/>
              </w:rPr>
              <w:t>competenţe</w:t>
            </w:r>
            <w:proofErr w:type="spellEnd"/>
            <w:r w:rsidRPr="009549FC">
              <w:rPr>
                <w:bCs/>
              </w:rPr>
              <w:t xml:space="preserve"> </w:t>
            </w:r>
            <w:proofErr w:type="spellStart"/>
            <w:r w:rsidRPr="009549FC">
              <w:rPr>
                <w:bCs/>
              </w:rPr>
              <w:t>şi</w:t>
            </w:r>
            <w:proofErr w:type="spellEnd"/>
            <w:r w:rsidRPr="009549FC">
              <w:rPr>
                <w:bCs/>
              </w:rPr>
              <w:t xml:space="preserve"> </w:t>
            </w:r>
            <w:proofErr w:type="spellStart"/>
            <w:r w:rsidRPr="009549FC">
              <w:rPr>
                <w:bCs/>
              </w:rPr>
              <w:t>abilităţi</w:t>
            </w:r>
            <w:proofErr w:type="spellEnd"/>
            <w:r w:rsidRPr="009549FC">
              <w:rPr>
                <w:bCs/>
              </w:rPr>
              <w:t xml:space="preserve"> necesare integrării.</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3B79E1" w:rsidRPr="00680951" w:rsidRDefault="009E04BC" w:rsidP="00680951">
            <w:pPr>
              <w:numPr>
                <w:ilvl w:val="0"/>
                <w:numId w:val="10"/>
              </w:numPr>
              <w:spacing w:line="276" w:lineRule="auto"/>
              <w:jc w:val="both"/>
              <w:rPr>
                <w:b/>
              </w:rPr>
            </w:pPr>
            <w:r w:rsidRPr="00680951">
              <w:rPr>
                <w:b/>
              </w:rPr>
              <w:lastRenderedPageBreak/>
              <w:t xml:space="preserve">Alte </w:t>
            </w:r>
            <w:proofErr w:type="spellStart"/>
            <w:r w:rsidRPr="00680951">
              <w:rPr>
                <w:b/>
              </w:rPr>
              <w:t>informaţii</w:t>
            </w:r>
            <w:proofErr w:type="spellEnd"/>
          </w:p>
          <w:p w:rsidR="00324050" w:rsidRDefault="0046781E" w:rsidP="00324050">
            <w:pPr>
              <w:autoSpaceDE w:val="0"/>
              <w:autoSpaceDN w:val="0"/>
              <w:adjustRightInd w:val="0"/>
              <w:spacing w:line="276" w:lineRule="auto"/>
              <w:ind w:firstLine="360"/>
              <w:jc w:val="both"/>
            </w:pPr>
            <w:r w:rsidRPr="00680951">
              <w:t xml:space="preserve">Având în vedere necesitatea dezvoltării serviciilor sociale pentru persoanele adulte cu </w:t>
            </w:r>
            <w:proofErr w:type="spellStart"/>
            <w:r w:rsidRPr="00680951">
              <w:t>dizabilităţi</w:t>
            </w:r>
            <w:proofErr w:type="spellEnd"/>
            <w:r w:rsidRPr="00680951">
              <w:t xml:space="preserve"> cu scopul </w:t>
            </w:r>
            <w:proofErr w:type="spellStart"/>
            <w:r w:rsidRPr="00680951">
              <w:rPr>
                <w:bCs/>
              </w:rPr>
              <w:t>dezinstituţionalizării</w:t>
            </w:r>
            <w:proofErr w:type="spellEnd"/>
            <w:r w:rsidRPr="00680951">
              <w:rPr>
                <w:bCs/>
              </w:rPr>
              <w:t xml:space="preserve"> persoanelor cu </w:t>
            </w:r>
            <w:proofErr w:type="spellStart"/>
            <w:r w:rsidRPr="00680951">
              <w:rPr>
                <w:bCs/>
              </w:rPr>
              <w:t>dizabilităţi</w:t>
            </w:r>
            <w:proofErr w:type="spellEnd"/>
            <w:r w:rsidRPr="00680951">
              <w:rPr>
                <w:bCs/>
              </w:rPr>
              <w:t xml:space="preserve"> aflate în </w:t>
            </w:r>
            <w:proofErr w:type="spellStart"/>
            <w:r w:rsidRPr="00680951">
              <w:rPr>
                <w:bCs/>
              </w:rPr>
              <w:t>instituţii</w:t>
            </w:r>
            <w:proofErr w:type="spellEnd"/>
            <w:r w:rsidRPr="00680951">
              <w:rPr>
                <w:bCs/>
              </w:rPr>
              <w:t xml:space="preserve"> de tip vechi </w:t>
            </w:r>
            <w:proofErr w:type="spellStart"/>
            <w:r w:rsidRPr="00680951">
              <w:rPr>
                <w:bCs/>
              </w:rPr>
              <w:t>şi</w:t>
            </w:r>
            <w:proofErr w:type="spellEnd"/>
            <w:r w:rsidRPr="00680951">
              <w:rPr>
                <w:bCs/>
              </w:rPr>
              <w:t xml:space="preserve"> pentru prevenirea </w:t>
            </w:r>
            <w:proofErr w:type="spellStart"/>
            <w:r w:rsidRPr="00680951">
              <w:rPr>
                <w:bCs/>
              </w:rPr>
              <w:t>instituţionalizării</w:t>
            </w:r>
            <w:proofErr w:type="spellEnd"/>
            <w:r w:rsidRPr="00680951">
              <w:t xml:space="preserve">, se impune adoptarea prezentului </w:t>
            </w:r>
            <w:r w:rsidR="00537E2B" w:rsidRPr="00680951">
              <w:t>act normativ</w:t>
            </w:r>
            <w:r w:rsidRPr="00680951">
              <w:t>.</w:t>
            </w:r>
          </w:p>
          <w:p w:rsidR="00115488" w:rsidRPr="00680951" w:rsidRDefault="00324050" w:rsidP="006D2B0D">
            <w:pPr>
              <w:autoSpaceDE w:val="0"/>
              <w:autoSpaceDN w:val="0"/>
              <w:adjustRightInd w:val="0"/>
              <w:ind w:firstLine="360"/>
              <w:jc w:val="both"/>
              <w:rPr>
                <w:bCs/>
                <w:iCs/>
              </w:rPr>
            </w:pPr>
            <w:r>
              <w:t>De asemenea, a</w:t>
            </w:r>
            <w:r w:rsidRPr="00880208">
              <w:t xml:space="preserve">vând în vedere necesitatea dezvoltării serviciilor sociale pentru persoanele adulte cu </w:t>
            </w:r>
            <w:proofErr w:type="spellStart"/>
            <w:r w:rsidRPr="00880208">
              <w:t>dizabilităţi</w:t>
            </w:r>
            <w:proofErr w:type="spellEnd"/>
            <w:r w:rsidRPr="00880208">
              <w:t xml:space="preserve">, cu scopul asigurării </w:t>
            </w:r>
            <w:proofErr w:type="spellStart"/>
            <w:r w:rsidRPr="00880208">
              <w:rPr>
                <w:bCs/>
              </w:rPr>
              <w:t>tranziţiei</w:t>
            </w:r>
            <w:proofErr w:type="spellEnd"/>
            <w:r w:rsidRPr="00880208">
              <w:rPr>
                <w:bCs/>
              </w:rPr>
              <w:t xml:space="preserve"> tinerilor cu dizabilități de la sistemul de protecție s</w:t>
            </w:r>
            <w:r w:rsidR="0011673B">
              <w:rPr>
                <w:bCs/>
              </w:rPr>
              <w:t>pecială</w:t>
            </w:r>
            <w:r w:rsidRPr="00880208">
              <w:rPr>
                <w:bCs/>
              </w:rPr>
              <w:t xml:space="preserve"> a copilului către sistemul de protecție a persoanelor adulte cu dizabilități </w:t>
            </w:r>
            <w:proofErr w:type="spellStart"/>
            <w:r w:rsidRPr="00880208">
              <w:rPr>
                <w:bCs/>
              </w:rPr>
              <w:t>şi</w:t>
            </w:r>
            <w:proofErr w:type="spellEnd"/>
            <w:r w:rsidRPr="00880208">
              <w:rPr>
                <w:bCs/>
              </w:rPr>
              <w:t xml:space="preserve"> pentru prevenirea </w:t>
            </w:r>
            <w:proofErr w:type="spellStart"/>
            <w:r w:rsidRPr="00880208">
              <w:rPr>
                <w:bCs/>
              </w:rPr>
              <w:t>instituţionalizării</w:t>
            </w:r>
            <w:proofErr w:type="spellEnd"/>
            <w:r w:rsidRPr="00880208">
              <w:t>, se impune adoptarea prezentului proiect de hotărâre.</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proofErr w:type="spellStart"/>
            <w:r w:rsidRPr="00680951">
              <w:rPr>
                <w:b/>
              </w:rPr>
              <w:t>Secţiunea</w:t>
            </w:r>
            <w:proofErr w:type="spellEnd"/>
            <w:r w:rsidRPr="00680951">
              <w:rPr>
                <w:b/>
              </w:rPr>
              <w:t xml:space="preserve"> a 3-a</w:t>
            </w:r>
          </w:p>
          <w:p w:rsidR="0011029F" w:rsidRPr="00680951" w:rsidRDefault="009E04BC">
            <w:pPr>
              <w:spacing w:line="276" w:lineRule="auto"/>
              <w:jc w:val="center"/>
              <w:rPr>
                <w:b/>
              </w:rPr>
            </w:pPr>
            <w:r w:rsidRPr="00680951">
              <w:rPr>
                <w:b/>
              </w:rPr>
              <w:t xml:space="preserve">Impactul </w:t>
            </w:r>
            <w:proofErr w:type="spellStart"/>
            <w:r w:rsidRPr="00680951">
              <w:rPr>
                <w:b/>
              </w:rPr>
              <w:t>socio</w:t>
            </w:r>
            <w:proofErr w:type="spellEnd"/>
            <w:r w:rsidRPr="00680951">
              <w:rPr>
                <w:b/>
              </w:rPr>
              <w:t xml:space="preserve">-economic al </w:t>
            </w:r>
            <w:r w:rsidR="00A12995" w:rsidRPr="00680951">
              <w:rPr>
                <w:b/>
              </w:rPr>
              <w:t>prezentului</w:t>
            </w:r>
            <w:r w:rsidRPr="00680951">
              <w:rPr>
                <w:b/>
              </w:rPr>
              <w:t xml:space="preserve"> act normativ</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both"/>
              <w:rPr>
                <w:b/>
                <w:bCs/>
              </w:rPr>
            </w:pPr>
            <w:r w:rsidRPr="00680951">
              <w:rPr>
                <w:b/>
                <w:bCs/>
              </w:rPr>
              <w:t>1. Impact macro-economic</w:t>
            </w:r>
          </w:p>
          <w:p w:rsidR="00A12995" w:rsidRPr="00680951" w:rsidRDefault="001E61DB" w:rsidP="001E61DB">
            <w:pPr>
              <w:autoSpaceDE w:val="0"/>
              <w:autoSpaceDN w:val="0"/>
              <w:adjustRightInd w:val="0"/>
              <w:spacing w:line="276" w:lineRule="auto"/>
              <w:jc w:val="both"/>
            </w:pPr>
            <w:r>
              <w:t xml:space="preserve">Proiectul de act </w:t>
            </w:r>
            <w:r w:rsidR="0025747C" w:rsidRPr="00680951">
              <w:t xml:space="preserve"> normativ nu se referă la acest subiect.</w:t>
            </w:r>
          </w:p>
        </w:tc>
      </w:tr>
      <w:tr w:rsidR="000743B8"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0743B8" w:rsidRPr="00680951" w:rsidRDefault="000743B8" w:rsidP="00680951">
            <w:pPr>
              <w:spacing w:line="276" w:lineRule="auto"/>
              <w:jc w:val="both"/>
              <w:rPr>
                <w:b/>
              </w:rPr>
            </w:pPr>
            <w:r w:rsidRPr="00680951">
              <w:rPr>
                <w:b/>
                <w:bCs/>
              </w:rPr>
              <w:t>1</w:t>
            </w:r>
            <w:r w:rsidRPr="00680951">
              <w:rPr>
                <w:b/>
                <w:bCs/>
                <w:vertAlign w:val="superscript"/>
              </w:rPr>
              <w:t>1</w:t>
            </w:r>
            <w:r w:rsidR="000604CB" w:rsidRPr="00680951">
              <w:rPr>
                <w:b/>
                <w:bCs/>
              </w:rPr>
              <w:t>.</w:t>
            </w:r>
            <w:r w:rsidRPr="00680951">
              <w:rPr>
                <w:b/>
                <w:bCs/>
                <w:vertAlign w:val="superscript"/>
              </w:rPr>
              <w:t xml:space="preserve"> </w:t>
            </w:r>
            <w:r w:rsidRPr="00680951">
              <w:rPr>
                <w:b/>
              </w:rPr>
              <w:t xml:space="preserve">Impactul asupra mediului </w:t>
            </w:r>
            <w:proofErr w:type="spellStart"/>
            <w:r w:rsidRPr="00680951">
              <w:rPr>
                <w:b/>
              </w:rPr>
              <w:t>concurenţial</w:t>
            </w:r>
            <w:proofErr w:type="spellEnd"/>
            <w:r w:rsidRPr="00680951">
              <w:rPr>
                <w:b/>
              </w:rPr>
              <w:t xml:space="preserve"> </w:t>
            </w:r>
            <w:proofErr w:type="spellStart"/>
            <w:r w:rsidRPr="00680951">
              <w:rPr>
                <w:b/>
              </w:rPr>
              <w:t>şi</w:t>
            </w:r>
            <w:proofErr w:type="spellEnd"/>
            <w:r w:rsidRPr="00680951">
              <w:rPr>
                <w:b/>
              </w:rPr>
              <w:t xml:space="preserve"> domeniul ajutoarelor de stat</w:t>
            </w:r>
          </w:p>
          <w:p w:rsidR="000743B8" w:rsidRPr="00680951" w:rsidRDefault="001E61DB" w:rsidP="001E61DB">
            <w:pPr>
              <w:spacing w:line="276" w:lineRule="auto"/>
              <w:jc w:val="both"/>
            </w:pPr>
            <w:r>
              <w:t xml:space="preserve">Proiectul de </w:t>
            </w:r>
            <w:r w:rsidR="004220BD" w:rsidRPr="00680951">
              <w:t xml:space="preserve"> </w:t>
            </w:r>
            <w:r w:rsidR="000743B8" w:rsidRPr="00680951">
              <w:t xml:space="preserve">act normativ nu se refera la acest subiect.              </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both"/>
              <w:rPr>
                <w:b/>
                <w:bCs/>
              </w:rPr>
            </w:pPr>
            <w:r w:rsidRPr="00680951">
              <w:rPr>
                <w:b/>
                <w:bCs/>
              </w:rPr>
              <w:t>2. Impact asupra mediului de afaceri</w:t>
            </w:r>
          </w:p>
          <w:p w:rsidR="00A12995" w:rsidRPr="00680951" w:rsidRDefault="001E61DB" w:rsidP="001E61DB">
            <w:pPr>
              <w:spacing w:line="276" w:lineRule="auto"/>
              <w:jc w:val="both"/>
            </w:pPr>
            <w:r>
              <w:t xml:space="preserve">Proiectul de act </w:t>
            </w:r>
            <w:r w:rsidR="009B0483" w:rsidRPr="00680951">
              <w:t xml:space="preserve"> normativ nu se referă la acest subiect.</w:t>
            </w:r>
          </w:p>
        </w:tc>
      </w:tr>
      <w:tr w:rsidR="005A5553"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5A5553" w:rsidRPr="00680951" w:rsidRDefault="005A5553" w:rsidP="00680951">
            <w:pPr>
              <w:spacing w:line="276" w:lineRule="auto"/>
              <w:jc w:val="both"/>
              <w:rPr>
                <w:b/>
                <w:bCs/>
              </w:rPr>
            </w:pPr>
            <w:r w:rsidRPr="00680951">
              <w:rPr>
                <w:b/>
                <w:bCs/>
              </w:rPr>
              <w:t>2</w:t>
            </w:r>
            <w:r w:rsidRPr="00680951">
              <w:rPr>
                <w:b/>
                <w:bCs/>
                <w:vertAlign w:val="superscript"/>
              </w:rPr>
              <w:t>1</w:t>
            </w:r>
            <w:r w:rsidR="000604CB" w:rsidRPr="00680951">
              <w:rPr>
                <w:b/>
                <w:bCs/>
              </w:rPr>
              <w:t>.</w:t>
            </w:r>
            <w:r w:rsidRPr="00680951">
              <w:rPr>
                <w:b/>
                <w:bCs/>
              </w:rPr>
              <w:t xml:space="preserve"> Impact asupra sarcinilor administrative</w:t>
            </w:r>
          </w:p>
          <w:p w:rsidR="00A12995" w:rsidRPr="00680951" w:rsidRDefault="001E61DB" w:rsidP="001E61DB">
            <w:pPr>
              <w:spacing w:line="276" w:lineRule="auto"/>
              <w:jc w:val="both"/>
            </w:pPr>
            <w:r>
              <w:t xml:space="preserve">Proiectul de act </w:t>
            </w:r>
            <w:r w:rsidR="005A5553" w:rsidRPr="00680951">
              <w:t xml:space="preserve"> normativ nu se referă la acest subiect.</w:t>
            </w:r>
          </w:p>
        </w:tc>
      </w:tr>
      <w:tr w:rsidR="005A5553"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5A5553" w:rsidRPr="00680951" w:rsidRDefault="005A5553" w:rsidP="00680951">
            <w:pPr>
              <w:spacing w:line="276" w:lineRule="auto"/>
              <w:jc w:val="both"/>
              <w:rPr>
                <w:b/>
                <w:bCs/>
              </w:rPr>
            </w:pPr>
            <w:r w:rsidRPr="00680951">
              <w:rPr>
                <w:b/>
                <w:bCs/>
              </w:rPr>
              <w:t>2</w:t>
            </w:r>
            <w:r w:rsidRPr="00680951">
              <w:rPr>
                <w:b/>
                <w:bCs/>
                <w:vertAlign w:val="superscript"/>
              </w:rPr>
              <w:t>2</w:t>
            </w:r>
            <w:r w:rsidR="000604CB" w:rsidRPr="00680951">
              <w:rPr>
                <w:b/>
                <w:bCs/>
              </w:rPr>
              <w:t>.</w:t>
            </w:r>
            <w:r w:rsidRPr="00680951">
              <w:rPr>
                <w:b/>
                <w:bCs/>
              </w:rPr>
              <w:t xml:space="preserve"> Impact asupra întreprinderilor mici </w:t>
            </w:r>
            <w:proofErr w:type="spellStart"/>
            <w:r w:rsidRPr="00680951">
              <w:rPr>
                <w:b/>
                <w:bCs/>
              </w:rPr>
              <w:t>şi</w:t>
            </w:r>
            <w:proofErr w:type="spellEnd"/>
            <w:r w:rsidRPr="00680951">
              <w:rPr>
                <w:b/>
                <w:bCs/>
              </w:rPr>
              <w:t xml:space="preserve"> mijlocii</w:t>
            </w:r>
          </w:p>
          <w:p w:rsidR="00A12995" w:rsidRPr="00680951" w:rsidRDefault="001E61DB" w:rsidP="001E61DB">
            <w:pPr>
              <w:spacing w:line="276" w:lineRule="auto"/>
              <w:jc w:val="both"/>
            </w:pPr>
            <w:r>
              <w:t xml:space="preserve">Proiectul de act </w:t>
            </w:r>
            <w:r w:rsidR="005A5553" w:rsidRPr="00680951">
              <w:t xml:space="preserve"> normativ nu se referă la acest subiect.</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036C82" w:rsidRPr="00680951" w:rsidRDefault="000604CB" w:rsidP="00680951">
            <w:pPr>
              <w:spacing w:line="276" w:lineRule="auto"/>
              <w:ind w:left="-4"/>
              <w:jc w:val="both"/>
              <w:rPr>
                <w:b/>
                <w:bCs/>
              </w:rPr>
            </w:pPr>
            <w:r w:rsidRPr="00680951">
              <w:rPr>
                <w:b/>
                <w:bCs/>
              </w:rPr>
              <w:t>3.</w:t>
            </w:r>
            <w:r w:rsidR="009E04BC" w:rsidRPr="00680951">
              <w:rPr>
                <w:b/>
                <w:bCs/>
              </w:rPr>
              <w:t>Impact social</w:t>
            </w:r>
          </w:p>
          <w:p w:rsidR="0011673B" w:rsidRDefault="0046781E" w:rsidP="0011673B">
            <w:pPr>
              <w:pStyle w:val="DefaultStyle"/>
              <w:spacing w:after="0"/>
              <w:rPr>
                <w:rFonts w:cs="Times New Roman"/>
                <w:bCs/>
                <w:szCs w:val="24"/>
                <w:lang w:val="ro-RO"/>
              </w:rPr>
            </w:pPr>
            <w:r w:rsidRPr="00680951">
              <w:rPr>
                <w:rFonts w:cs="Times New Roman"/>
                <w:szCs w:val="24"/>
                <w:lang w:val="ro-RO"/>
              </w:rPr>
              <w:t xml:space="preserve">Prezentul </w:t>
            </w:r>
            <w:r w:rsidR="00A12995" w:rsidRPr="00680951">
              <w:rPr>
                <w:rFonts w:cs="Times New Roman"/>
                <w:szCs w:val="24"/>
                <w:lang w:val="ro-RO"/>
              </w:rPr>
              <w:t xml:space="preserve">act normativ </w:t>
            </w:r>
            <w:r w:rsidRPr="00680951">
              <w:rPr>
                <w:rFonts w:cs="Times New Roman"/>
                <w:szCs w:val="24"/>
                <w:lang w:val="ro-RO"/>
              </w:rPr>
              <w:t xml:space="preserve">are în vedere </w:t>
            </w:r>
            <w:proofErr w:type="spellStart"/>
            <w:r w:rsidRPr="00680951">
              <w:rPr>
                <w:rFonts w:cs="Times New Roman"/>
                <w:bCs/>
                <w:szCs w:val="24"/>
                <w:lang w:val="ro-RO"/>
              </w:rPr>
              <w:t>dezinstituţionalizarea</w:t>
            </w:r>
            <w:proofErr w:type="spellEnd"/>
            <w:r w:rsidRPr="00680951">
              <w:rPr>
                <w:rFonts w:cs="Times New Roman"/>
                <w:bCs/>
                <w:szCs w:val="24"/>
                <w:lang w:val="ro-RO"/>
              </w:rPr>
              <w:t xml:space="preserve"> persoanelor cu </w:t>
            </w:r>
            <w:proofErr w:type="spellStart"/>
            <w:r w:rsidRPr="00680951">
              <w:rPr>
                <w:rFonts w:cs="Times New Roman"/>
                <w:bCs/>
                <w:szCs w:val="24"/>
                <w:lang w:val="ro-RO"/>
              </w:rPr>
              <w:t>dizabilităţi</w:t>
            </w:r>
            <w:proofErr w:type="spellEnd"/>
            <w:r w:rsidRPr="00680951">
              <w:rPr>
                <w:rFonts w:cs="Times New Roman"/>
                <w:bCs/>
                <w:szCs w:val="24"/>
                <w:lang w:val="ro-RO"/>
              </w:rPr>
              <w:t xml:space="preserve"> aflate în </w:t>
            </w:r>
            <w:proofErr w:type="spellStart"/>
            <w:r w:rsidRPr="00680951">
              <w:rPr>
                <w:rFonts w:cs="Times New Roman"/>
                <w:bCs/>
                <w:szCs w:val="24"/>
                <w:lang w:val="ro-RO"/>
              </w:rPr>
              <w:t>instituţii</w:t>
            </w:r>
            <w:proofErr w:type="spellEnd"/>
            <w:r w:rsidRPr="00680951">
              <w:rPr>
                <w:rFonts w:cs="Times New Roman"/>
                <w:bCs/>
                <w:szCs w:val="24"/>
                <w:lang w:val="ro-RO"/>
              </w:rPr>
              <w:t xml:space="preserve"> de tip vechi </w:t>
            </w:r>
            <w:proofErr w:type="spellStart"/>
            <w:r w:rsidRPr="00680951">
              <w:rPr>
                <w:rFonts w:cs="Times New Roman"/>
                <w:bCs/>
                <w:szCs w:val="24"/>
                <w:lang w:val="ro-RO"/>
              </w:rPr>
              <w:t>şi</w:t>
            </w:r>
            <w:proofErr w:type="spellEnd"/>
            <w:r w:rsidRPr="00680951">
              <w:rPr>
                <w:rFonts w:cs="Times New Roman"/>
                <w:bCs/>
                <w:szCs w:val="24"/>
                <w:lang w:val="ro-RO"/>
              </w:rPr>
              <w:t xml:space="preserve"> prevenirea </w:t>
            </w:r>
            <w:proofErr w:type="spellStart"/>
            <w:r w:rsidRPr="00680951">
              <w:rPr>
                <w:rFonts w:cs="Times New Roman"/>
                <w:bCs/>
                <w:szCs w:val="24"/>
                <w:lang w:val="ro-RO"/>
              </w:rPr>
              <w:t>instituţionalizării</w:t>
            </w:r>
            <w:proofErr w:type="spellEnd"/>
            <w:r w:rsidRPr="00680951">
              <w:rPr>
                <w:rFonts w:cs="Times New Roman"/>
                <w:bCs/>
                <w:szCs w:val="24"/>
                <w:lang w:val="ro-RO"/>
              </w:rPr>
              <w:t xml:space="preserve"> persoanelor cu </w:t>
            </w:r>
            <w:proofErr w:type="spellStart"/>
            <w:r w:rsidRPr="00680951">
              <w:rPr>
                <w:rFonts w:cs="Times New Roman"/>
                <w:bCs/>
                <w:szCs w:val="24"/>
                <w:lang w:val="ro-RO"/>
              </w:rPr>
              <w:t>dizabilităţi</w:t>
            </w:r>
            <w:proofErr w:type="spellEnd"/>
            <w:r w:rsidRPr="00680951">
              <w:rPr>
                <w:rFonts w:cs="Times New Roman"/>
                <w:bCs/>
                <w:szCs w:val="24"/>
                <w:lang w:val="ro-RO"/>
              </w:rPr>
              <w:t xml:space="preserve"> aflate în comunitate.</w:t>
            </w:r>
            <w:r w:rsidR="0011673B">
              <w:rPr>
                <w:rFonts w:cs="Times New Roman"/>
                <w:bCs/>
                <w:szCs w:val="24"/>
                <w:lang w:val="ro-RO"/>
              </w:rPr>
              <w:t xml:space="preserve"> </w:t>
            </w:r>
            <w:r w:rsidR="00910CE0" w:rsidRPr="00680951">
              <w:rPr>
                <w:rFonts w:cs="Times New Roman"/>
                <w:bCs/>
                <w:szCs w:val="24"/>
                <w:lang w:val="ro-RO"/>
              </w:rPr>
              <w:t>Totodată, implementarea acestui program va duce la creșterea calității vieții persoanelor cu dizabilități dezinstituționalizate.</w:t>
            </w:r>
          </w:p>
          <w:p w:rsidR="0011673B" w:rsidRPr="00680951" w:rsidRDefault="0011673B" w:rsidP="00680951">
            <w:pPr>
              <w:pStyle w:val="DefaultStyle"/>
              <w:spacing w:after="0"/>
              <w:rPr>
                <w:rFonts w:cs="Times New Roman"/>
                <w:bCs/>
                <w:szCs w:val="24"/>
                <w:lang w:val="ro-RO"/>
              </w:rPr>
            </w:pPr>
            <w:r>
              <w:t xml:space="preserve">De </w:t>
            </w:r>
            <w:proofErr w:type="spellStart"/>
            <w:r>
              <w:t>asemenea</w:t>
            </w:r>
            <w:proofErr w:type="spellEnd"/>
            <w:r>
              <w:t xml:space="preserve">, </w:t>
            </w:r>
            <w:r>
              <w:rPr>
                <w:rFonts w:cs="Times New Roman"/>
                <w:szCs w:val="24"/>
                <w:lang w:val="ro-RO"/>
              </w:rPr>
              <w:t>p</w:t>
            </w:r>
            <w:r w:rsidRPr="00680951">
              <w:rPr>
                <w:rFonts w:cs="Times New Roman"/>
                <w:szCs w:val="24"/>
                <w:lang w:val="ro-RO"/>
              </w:rPr>
              <w:t xml:space="preserve">rezentul act normativ are în vedere </w:t>
            </w:r>
            <w:r w:rsidRPr="00880208">
              <w:rPr>
                <w:rFonts w:cs="Times New Roman"/>
                <w:szCs w:val="24"/>
                <w:lang w:val="ro-RO"/>
              </w:rPr>
              <w:t xml:space="preserve">asigurarea </w:t>
            </w:r>
            <w:r w:rsidRPr="00880208">
              <w:rPr>
                <w:rFonts w:cs="Times New Roman"/>
                <w:bCs/>
                <w:szCs w:val="24"/>
                <w:lang w:val="ro-RO"/>
              </w:rPr>
              <w:t xml:space="preserve">tranziției tinerilor cu dizabilități de la sistemul de protecție socială a copilului către sistemul de protecție a persoanelor adulte cu dizabilități </w:t>
            </w:r>
            <w:proofErr w:type="spellStart"/>
            <w:r w:rsidRPr="00880208">
              <w:rPr>
                <w:rFonts w:cs="Times New Roman"/>
                <w:bCs/>
                <w:szCs w:val="24"/>
                <w:lang w:val="ro-RO"/>
              </w:rPr>
              <w:t>şi</w:t>
            </w:r>
            <w:proofErr w:type="spellEnd"/>
            <w:r w:rsidRPr="00880208">
              <w:rPr>
                <w:rFonts w:cs="Times New Roman"/>
                <w:bCs/>
                <w:szCs w:val="24"/>
                <w:lang w:val="ro-RO"/>
              </w:rPr>
              <w:t xml:space="preserve"> prevenirea </w:t>
            </w:r>
            <w:proofErr w:type="spellStart"/>
            <w:r w:rsidRPr="00880208">
              <w:rPr>
                <w:rFonts w:cs="Times New Roman"/>
                <w:bCs/>
                <w:szCs w:val="24"/>
                <w:lang w:val="ro-RO"/>
              </w:rPr>
              <w:t>instituţionalizării</w:t>
            </w:r>
            <w:proofErr w:type="spellEnd"/>
            <w:r w:rsidRPr="00880208">
              <w:rPr>
                <w:rFonts w:cs="Times New Roman"/>
                <w:bCs/>
                <w:szCs w:val="24"/>
                <w:lang w:val="ro-RO"/>
              </w:rPr>
              <w:t xml:space="preserve"> persoanelor cu </w:t>
            </w:r>
            <w:proofErr w:type="spellStart"/>
            <w:r w:rsidRPr="00880208">
              <w:rPr>
                <w:rFonts w:cs="Times New Roman"/>
                <w:bCs/>
                <w:szCs w:val="24"/>
                <w:lang w:val="ro-RO"/>
              </w:rPr>
              <w:t>di</w:t>
            </w:r>
            <w:r>
              <w:rPr>
                <w:rFonts w:cs="Times New Roman"/>
                <w:bCs/>
                <w:szCs w:val="24"/>
                <w:lang w:val="ro-RO"/>
              </w:rPr>
              <w:t>zabilităţi</w:t>
            </w:r>
            <w:proofErr w:type="spellEnd"/>
            <w:r>
              <w:rPr>
                <w:rFonts w:cs="Times New Roman"/>
                <w:bCs/>
                <w:szCs w:val="24"/>
                <w:lang w:val="ro-RO"/>
              </w:rPr>
              <w:t xml:space="preserve"> aflate în comunitate</w:t>
            </w:r>
            <w:r w:rsidRPr="00880208">
              <w:t>.</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both"/>
              <w:rPr>
                <w:b/>
              </w:rPr>
            </w:pPr>
            <w:r w:rsidRPr="00680951">
              <w:rPr>
                <w:b/>
              </w:rPr>
              <w:t>4. Impact asupra mediului</w:t>
            </w:r>
          </w:p>
          <w:p w:rsidR="00A12995" w:rsidRPr="00680951" w:rsidRDefault="001E61DB" w:rsidP="001E61DB">
            <w:pPr>
              <w:autoSpaceDE w:val="0"/>
              <w:autoSpaceDN w:val="0"/>
              <w:adjustRightInd w:val="0"/>
              <w:spacing w:line="276" w:lineRule="auto"/>
              <w:jc w:val="both"/>
            </w:pPr>
            <w:r>
              <w:t xml:space="preserve">Proiectul de act </w:t>
            </w:r>
            <w:r w:rsidR="009B0483" w:rsidRPr="00680951">
              <w:t xml:space="preserve"> normativ nu se referă la acest subiect.</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A12995" w:rsidRPr="00140051" w:rsidRDefault="00140051" w:rsidP="00140051">
            <w:pPr>
              <w:jc w:val="both"/>
              <w:rPr>
                <w:b/>
                <w:bCs/>
              </w:rPr>
            </w:pPr>
            <w:r>
              <w:rPr>
                <w:b/>
                <w:bCs/>
              </w:rPr>
              <w:t xml:space="preserve">5. </w:t>
            </w:r>
            <w:r w:rsidR="009E04BC" w:rsidRPr="00140051">
              <w:rPr>
                <w:b/>
                <w:bCs/>
              </w:rPr>
              <w:t>Alte</w:t>
            </w:r>
            <w:r w:rsidR="00423C5A" w:rsidRPr="00140051">
              <w:rPr>
                <w:b/>
                <w:bCs/>
              </w:rPr>
              <w:t xml:space="preserve"> </w:t>
            </w:r>
            <w:proofErr w:type="spellStart"/>
            <w:r w:rsidR="00423C5A" w:rsidRPr="00140051">
              <w:rPr>
                <w:b/>
                <w:bCs/>
              </w:rPr>
              <w:t>informaţii</w:t>
            </w:r>
            <w:proofErr w:type="spellEnd"/>
          </w:p>
          <w:p w:rsidR="004412AD" w:rsidRPr="00A72E2D" w:rsidRDefault="001277C8" w:rsidP="00A72E2D">
            <w:pPr>
              <w:pStyle w:val="ListParagraph"/>
              <w:spacing w:after="0"/>
              <w:ind w:left="25"/>
              <w:jc w:val="both"/>
              <w:rPr>
                <w:rFonts w:ascii="Times New Roman" w:hAnsi="Times New Roman"/>
                <w:b/>
                <w:bCs/>
                <w:sz w:val="24"/>
                <w:szCs w:val="24"/>
              </w:rPr>
            </w:pPr>
            <w:r w:rsidRPr="00680951">
              <w:rPr>
                <w:rFonts w:ascii="Times New Roman" w:hAnsi="Times New Roman"/>
                <w:b/>
                <w:bCs/>
                <w:sz w:val="24"/>
                <w:szCs w:val="24"/>
              </w:rPr>
              <w:t xml:space="preserve">Nu </w:t>
            </w:r>
            <w:proofErr w:type="spellStart"/>
            <w:r w:rsidRPr="00680951">
              <w:rPr>
                <w:rFonts w:ascii="Times New Roman" w:hAnsi="Times New Roman"/>
                <w:b/>
                <w:bCs/>
                <w:sz w:val="24"/>
                <w:szCs w:val="24"/>
              </w:rPr>
              <w:t>este</w:t>
            </w:r>
            <w:proofErr w:type="spellEnd"/>
            <w:r w:rsidRPr="00680951">
              <w:rPr>
                <w:rFonts w:ascii="Times New Roman" w:hAnsi="Times New Roman"/>
                <w:b/>
                <w:bCs/>
                <w:sz w:val="24"/>
                <w:szCs w:val="24"/>
              </w:rPr>
              <w:t xml:space="preserve"> </w:t>
            </w:r>
            <w:proofErr w:type="spellStart"/>
            <w:r w:rsidRPr="00680951">
              <w:rPr>
                <w:rFonts w:ascii="Times New Roman" w:hAnsi="Times New Roman"/>
                <w:b/>
                <w:bCs/>
                <w:sz w:val="24"/>
                <w:szCs w:val="24"/>
              </w:rPr>
              <w:t>cazul</w:t>
            </w:r>
            <w:proofErr w:type="spellEnd"/>
            <w:r w:rsidRPr="00680951">
              <w:rPr>
                <w:rFonts w:ascii="Times New Roman" w:hAnsi="Times New Roman"/>
                <w:b/>
                <w:bCs/>
                <w:sz w:val="24"/>
                <w:szCs w:val="24"/>
              </w:rPr>
              <w:t>.</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proofErr w:type="spellStart"/>
            <w:r w:rsidRPr="00680951">
              <w:rPr>
                <w:b/>
              </w:rPr>
              <w:lastRenderedPageBreak/>
              <w:t>Secţiunea</w:t>
            </w:r>
            <w:proofErr w:type="spellEnd"/>
            <w:r w:rsidRPr="00680951">
              <w:rPr>
                <w:b/>
              </w:rPr>
              <w:t xml:space="preserve"> a 4-a</w:t>
            </w:r>
          </w:p>
          <w:p w:rsidR="009E04BC" w:rsidRPr="00680951" w:rsidRDefault="009E04BC" w:rsidP="00680951">
            <w:pPr>
              <w:spacing w:line="276" w:lineRule="auto"/>
              <w:jc w:val="center"/>
              <w:rPr>
                <w:b/>
              </w:rPr>
            </w:pPr>
            <w:r w:rsidRPr="00680951">
              <w:rPr>
                <w:b/>
              </w:rPr>
              <w:t>Impactul financiar asupra bugetului general consolidat,</w:t>
            </w:r>
          </w:p>
          <w:p w:rsidR="0011029F" w:rsidRPr="00680951" w:rsidRDefault="009E04BC">
            <w:pPr>
              <w:spacing w:line="276" w:lineRule="auto"/>
              <w:jc w:val="center"/>
              <w:rPr>
                <w:b/>
              </w:rPr>
            </w:pPr>
            <w:r w:rsidRPr="00680951">
              <w:rPr>
                <w:b/>
              </w:rPr>
              <w:t xml:space="preserve">atât pe termen scurt, pentru anul curent, cât </w:t>
            </w:r>
            <w:proofErr w:type="spellStart"/>
            <w:r w:rsidRPr="00680951">
              <w:rPr>
                <w:b/>
              </w:rPr>
              <w:t>şi</w:t>
            </w:r>
            <w:proofErr w:type="spellEnd"/>
            <w:r w:rsidRPr="00680951">
              <w:rPr>
                <w:b/>
              </w:rPr>
              <w:t xml:space="preserve"> pe termen lung (pe 5 ani)</w:t>
            </w:r>
          </w:p>
        </w:tc>
      </w:tr>
      <w:tr w:rsidR="009E04BC"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right"/>
            </w:pPr>
            <w:r w:rsidRPr="00680951">
              <w:t>- în mii lei (RON) -</w:t>
            </w:r>
          </w:p>
        </w:tc>
      </w:tr>
      <w:tr w:rsidR="009E04BC" w:rsidRPr="00680951" w:rsidTr="00CA7710">
        <w:tc>
          <w:tcPr>
            <w:tcW w:w="246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Indicatori</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Anul curent</w:t>
            </w:r>
          </w:p>
        </w:tc>
        <w:tc>
          <w:tcPr>
            <w:tcW w:w="5008" w:type="dxa"/>
            <w:gridSpan w:val="4"/>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Următorii patru ani</w:t>
            </w:r>
          </w:p>
        </w:tc>
        <w:tc>
          <w:tcPr>
            <w:tcW w:w="1428"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 xml:space="preserve">Media pe </w:t>
            </w:r>
            <w:r w:rsidR="00E72D88" w:rsidRPr="00680951">
              <w:t>patru</w:t>
            </w:r>
            <w:r w:rsidRPr="00680951">
              <w:t xml:space="preserve"> ani </w:t>
            </w:r>
          </w:p>
        </w:tc>
      </w:tr>
      <w:tr w:rsidR="009E04BC" w:rsidRPr="00680951" w:rsidTr="00CA7710">
        <w:tc>
          <w:tcPr>
            <w:tcW w:w="246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1</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2</w:t>
            </w:r>
          </w:p>
        </w:tc>
        <w:tc>
          <w:tcPr>
            <w:tcW w:w="1181"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3</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4</w:t>
            </w:r>
          </w:p>
        </w:tc>
        <w:tc>
          <w:tcPr>
            <w:tcW w:w="1417"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5</w:t>
            </w:r>
          </w:p>
        </w:tc>
        <w:tc>
          <w:tcPr>
            <w:tcW w:w="1134"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6</w:t>
            </w:r>
          </w:p>
        </w:tc>
        <w:tc>
          <w:tcPr>
            <w:tcW w:w="1428"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7</w:t>
            </w:r>
          </w:p>
        </w:tc>
      </w:tr>
      <w:tr w:rsidR="009E04BC" w:rsidRPr="00680951" w:rsidTr="00CA7710">
        <w:tc>
          <w:tcPr>
            <w:tcW w:w="2466" w:type="dxa"/>
            <w:tcBorders>
              <w:top w:val="single" w:sz="4" w:space="0" w:color="auto"/>
              <w:left w:val="single" w:sz="4" w:space="0" w:color="auto"/>
              <w:bottom w:val="single" w:sz="4" w:space="0" w:color="auto"/>
              <w:right w:val="single" w:sz="4" w:space="0" w:color="auto"/>
            </w:tcBorders>
          </w:tcPr>
          <w:p w:rsidR="009E04BC" w:rsidRPr="00680951" w:rsidRDefault="009E04BC" w:rsidP="00680951">
            <w:r w:rsidRPr="00680951">
              <w:t>1. Modif</w:t>
            </w:r>
            <w:r w:rsidR="00B8333E" w:rsidRPr="00680951">
              <w:t>icări ale veniturilor bugetare, în plus/</w:t>
            </w:r>
            <w:r w:rsidRPr="00680951">
              <w:t>minus, din care:</w:t>
            </w:r>
          </w:p>
          <w:p w:rsidR="009E04BC" w:rsidRPr="00680951" w:rsidRDefault="009E04BC" w:rsidP="00680951">
            <w:r w:rsidRPr="00680951">
              <w:t>a) buget de stat, din acesta:</w:t>
            </w:r>
          </w:p>
          <w:p w:rsidR="009E04BC" w:rsidRPr="00680951" w:rsidRDefault="009E04BC" w:rsidP="00680951">
            <w:pPr>
              <w:numPr>
                <w:ilvl w:val="0"/>
                <w:numId w:val="1"/>
              </w:numPr>
              <w:tabs>
                <w:tab w:val="clear" w:pos="720"/>
                <w:tab w:val="num" w:pos="432"/>
              </w:tabs>
            </w:pPr>
            <w:r w:rsidRPr="00680951">
              <w:t>impozit pe profit</w:t>
            </w:r>
          </w:p>
          <w:p w:rsidR="009E04BC" w:rsidRPr="00680951" w:rsidRDefault="009E04BC" w:rsidP="00680951">
            <w:pPr>
              <w:numPr>
                <w:ilvl w:val="0"/>
                <w:numId w:val="1"/>
              </w:numPr>
              <w:tabs>
                <w:tab w:val="clear" w:pos="720"/>
                <w:tab w:val="num" w:pos="432"/>
              </w:tabs>
            </w:pPr>
            <w:r w:rsidRPr="00680951">
              <w:t>impozit pe venit</w:t>
            </w:r>
          </w:p>
          <w:p w:rsidR="009E04BC" w:rsidRPr="00680951" w:rsidRDefault="009E04BC" w:rsidP="00680951">
            <w:r w:rsidRPr="00680951">
              <w:t>b) bugete locale</w:t>
            </w:r>
          </w:p>
          <w:p w:rsidR="009E04BC" w:rsidRPr="00680951" w:rsidRDefault="009E04BC" w:rsidP="00680951">
            <w:pPr>
              <w:numPr>
                <w:ilvl w:val="0"/>
                <w:numId w:val="2"/>
              </w:numPr>
              <w:tabs>
                <w:tab w:val="clear" w:pos="720"/>
                <w:tab w:val="num" w:pos="432"/>
              </w:tabs>
            </w:pPr>
            <w:r w:rsidRPr="00680951">
              <w:t>impozit pe profit</w:t>
            </w:r>
          </w:p>
          <w:p w:rsidR="009E04BC" w:rsidRPr="00680951" w:rsidRDefault="009E04BC" w:rsidP="00680951">
            <w:r w:rsidRPr="00680951">
              <w:t xml:space="preserve">c)bugetul </w:t>
            </w:r>
            <w:r w:rsidR="00E15E03" w:rsidRPr="00680951">
              <w:t>a</w:t>
            </w:r>
            <w:r w:rsidRPr="00680951">
              <w:t>sigurărilor sociale de stat:</w:t>
            </w:r>
          </w:p>
          <w:p w:rsidR="009E04BC" w:rsidRPr="00680951" w:rsidRDefault="009E04BC" w:rsidP="00680951">
            <w:pPr>
              <w:numPr>
                <w:ilvl w:val="0"/>
                <w:numId w:val="3"/>
              </w:numPr>
              <w:tabs>
                <w:tab w:val="clear" w:pos="720"/>
                <w:tab w:val="num" w:pos="421"/>
              </w:tabs>
              <w:ind w:left="421" w:hanging="61"/>
            </w:pPr>
            <w:proofErr w:type="spellStart"/>
            <w:r w:rsidRPr="00680951">
              <w:t>contribuţii</w:t>
            </w:r>
            <w:proofErr w:type="spellEnd"/>
            <w:r w:rsidRPr="00680951">
              <w:t xml:space="preserve"> de asigurări</w:t>
            </w:r>
          </w:p>
        </w:tc>
        <w:tc>
          <w:tcPr>
            <w:tcW w:w="1276" w:type="dxa"/>
            <w:tcBorders>
              <w:top w:val="single" w:sz="4" w:space="0" w:color="auto"/>
              <w:left w:val="single" w:sz="4" w:space="0" w:color="auto"/>
              <w:bottom w:val="single" w:sz="4" w:space="0" w:color="auto"/>
              <w:right w:val="single" w:sz="4" w:space="0" w:color="auto"/>
            </w:tcBorders>
          </w:tcPr>
          <w:p w:rsidR="009E04BC" w:rsidRDefault="009E04BC" w:rsidP="00680951">
            <w:pPr>
              <w:autoSpaceDE w:val="0"/>
              <w:autoSpaceDN w:val="0"/>
              <w:adjustRightInd w:val="0"/>
              <w:jc w:val="both"/>
            </w:pPr>
          </w:p>
          <w:p w:rsidR="00041C72" w:rsidRDefault="00041C72" w:rsidP="00680951">
            <w:pPr>
              <w:autoSpaceDE w:val="0"/>
              <w:autoSpaceDN w:val="0"/>
              <w:adjustRightInd w:val="0"/>
              <w:jc w:val="both"/>
            </w:pPr>
          </w:p>
          <w:p w:rsidR="00041C72" w:rsidRDefault="00041C72" w:rsidP="00680951">
            <w:pPr>
              <w:autoSpaceDE w:val="0"/>
              <w:autoSpaceDN w:val="0"/>
              <w:adjustRightInd w:val="0"/>
              <w:jc w:val="both"/>
            </w:pPr>
          </w:p>
          <w:p w:rsidR="00041C72" w:rsidRDefault="00041C72" w:rsidP="00680951">
            <w:pPr>
              <w:autoSpaceDE w:val="0"/>
              <w:autoSpaceDN w:val="0"/>
              <w:adjustRightInd w:val="0"/>
              <w:jc w:val="both"/>
            </w:pPr>
          </w:p>
          <w:p w:rsidR="00041C72" w:rsidRPr="00680951" w:rsidRDefault="00041C72" w:rsidP="00680951">
            <w:pPr>
              <w:autoSpaceDE w:val="0"/>
              <w:autoSpaceDN w:val="0"/>
              <w:adjustRightInd w:val="0"/>
              <w:jc w:val="both"/>
            </w:pPr>
          </w:p>
        </w:tc>
        <w:tc>
          <w:tcPr>
            <w:tcW w:w="1181"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pStyle w:val="Header"/>
              <w:tabs>
                <w:tab w:val="left" w:pos="720"/>
              </w:tabs>
              <w:jc w:val="center"/>
              <w:rPr>
                <w:rFonts w:ascii="Times New Roman" w:hAnsi="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c>
          <w:tcPr>
            <w:tcW w:w="1417"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c>
          <w:tcPr>
            <w:tcW w:w="1134"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c>
          <w:tcPr>
            <w:tcW w:w="1428"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r>
      <w:tr w:rsidR="00B8333E" w:rsidRPr="00680951" w:rsidTr="00CA7710">
        <w:trPr>
          <w:trHeight w:val="344"/>
        </w:trPr>
        <w:tc>
          <w:tcPr>
            <w:tcW w:w="2466" w:type="dxa"/>
            <w:tcBorders>
              <w:top w:val="single" w:sz="4" w:space="0" w:color="auto"/>
              <w:left w:val="single" w:sz="4" w:space="0" w:color="auto"/>
              <w:bottom w:val="single" w:sz="4" w:space="0" w:color="auto"/>
              <w:right w:val="single" w:sz="4" w:space="0" w:color="auto"/>
            </w:tcBorders>
          </w:tcPr>
          <w:p w:rsidR="00B8333E" w:rsidRPr="00680951" w:rsidRDefault="00B8333E" w:rsidP="00680951">
            <w:r w:rsidRPr="00680951">
              <w:rPr>
                <w:bCs/>
              </w:rPr>
              <w:t xml:space="preserve">2. </w:t>
            </w:r>
            <w:r w:rsidRPr="00680951">
              <w:t>Modific</w:t>
            </w:r>
            <w:r w:rsidR="00225493" w:rsidRPr="00680951">
              <w:t>ări ale cheltuielilor bugetare,</w:t>
            </w:r>
            <w:r w:rsidRPr="00680951">
              <w:t xml:space="preserve">  </w:t>
            </w:r>
            <w:r w:rsidR="00225493" w:rsidRPr="00680951">
              <w:t>plus</w:t>
            </w:r>
            <w:r w:rsidR="000C3CCD" w:rsidRPr="00680951">
              <w:t>/minus</w:t>
            </w:r>
            <w:r w:rsidRPr="00680951">
              <w:t>, din care:</w:t>
            </w:r>
          </w:p>
          <w:p w:rsidR="00B8333E" w:rsidRPr="00680951" w:rsidRDefault="00B8333E" w:rsidP="00680951">
            <w:r w:rsidRPr="00680951">
              <w:t>a) buget de stat, din acesta:</w:t>
            </w:r>
          </w:p>
          <w:p w:rsidR="00B8333E" w:rsidRPr="00680951" w:rsidRDefault="00B8333E" w:rsidP="00680951">
            <w:pPr>
              <w:numPr>
                <w:ilvl w:val="0"/>
                <w:numId w:val="4"/>
              </w:numPr>
              <w:tabs>
                <w:tab w:val="clear" w:pos="720"/>
                <w:tab w:val="num" w:pos="432"/>
              </w:tabs>
              <w:ind w:left="421" w:hanging="142"/>
            </w:pPr>
            <w:r w:rsidRPr="00680951">
              <w:t>cheltuieli de personal</w:t>
            </w:r>
          </w:p>
          <w:p w:rsidR="00096281" w:rsidRDefault="00B8333E" w:rsidP="00680951">
            <w:pPr>
              <w:numPr>
                <w:ilvl w:val="0"/>
                <w:numId w:val="4"/>
              </w:numPr>
              <w:tabs>
                <w:tab w:val="clear" w:pos="720"/>
                <w:tab w:val="num" w:pos="432"/>
              </w:tabs>
              <w:ind w:left="421" w:hanging="142"/>
            </w:pPr>
            <w:r w:rsidRPr="00680951">
              <w:t xml:space="preserve">bunuri </w:t>
            </w:r>
            <w:proofErr w:type="spellStart"/>
            <w:r w:rsidRPr="00680951">
              <w:t>şi</w:t>
            </w:r>
            <w:proofErr w:type="spellEnd"/>
            <w:r w:rsidRPr="00680951">
              <w:t xml:space="preserve"> servicii</w:t>
            </w:r>
          </w:p>
          <w:p w:rsidR="00B8333E" w:rsidRPr="00680951" w:rsidRDefault="00B8333E" w:rsidP="00680951">
            <w:r w:rsidRPr="00680951">
              <w:t>b) bugete locale:</w:t>
            </w:r>
          </w:p>
          <w:p w:rsidR="00B8333E" w:rsidRPr="00680951" w:rsidRDefault="00B8333E" w:rsidP="00680951">
            <w:pPr>
              <w:numPr>
                <w:ilvl w:val="0"/>
                <w:numId w:val="5"/>
              </w:numPr>
              <w:tabs>
                <w:tab w:val="clear" w:pos="720"/>
                <w:tab w:val="num" w:pos="432"/>
              </w:tabs>
              <w:ind w:left="421" w:hanging="61"/>
            </w:pPr>
            <w:r w:rsidRPr="00680951">
              <w:t>cheltuieli de personal</w:t>
            </w:r>
          </w:p>
          <w:p w:rsidR="00B8333E" w:rsidRPr="00680951" w:rsidRDefault="00B8333E" w:rsidP="00680951">
            <w:pPr>
              <w:numPr>
                <w:ilvl w:val="0"/>
                <w:numId w:val="5"/>
              </w:numPr>
              <w:tabs>
                <w:tab w:val="clear" w:pos="720"/>
                <w:tab w:val="num" w:pos="432"/>
              </w:tabs>
              <w:ind w:left="421" w:hanging="61"/>
            </w:pPr>
            <w:r w:rsidRPr="00680951">
              <w:t xml:space="preserve">bunuri </w:t>
            </w:r>
            <w:proofErr w:type="spellStart"/>
            <w:r w:rsidRPr="00680951">
              <w:t>şi</w:t>
            </w:r>
            <w:proofErr w:type="spellEnd"/>
            <w:r w:rsidRPr="00680951">
              <w:t xml:space="preserve"> servicii</w:t>
            </w:r>
          </w:p>
          <w:p w:rsidR="00B8333E" w:rsidRPr="00680951" w:rsidRDefault="00B8333E" w:rsidP="00680951">
            <w:r w:rsidRPr="00680951">
              <w:t>c) bugetul asigurărilor sociale de stat:</w:t>
            </w:r>
          </w:p>
          <w:p w:rsidR="00B8333E" w:rsidRPr="00680951" w:rsidRDefault="00B8333E" w:rsidP="00680951">
            <w:pPr>
              <w:numPr>
                <w:ilvl w:val="0"/>
                <w:numId w:val="6"/>
              </w:numPr>
              <w:tabs>
                <w:tab w:val="clear" w:pos="720"/>
                <w:tab w:val="num" w:pos="432"/>
              </w:tabs>
              <w:ind w:left="421" w:firstLine="0"/>
            </w:pPr>
            <w:r w:rsidRPr="00680951">
              <w:t>cheltuieli de personal</w:t>
            </w:r>
          </w:p>
          <w:p w:rsidR="00B8333E" w:rsidRPr="00680951" w:rsidRDefault="00B8333E" w:rsidP="00680951">
            <w:pPr>
              <w:numPr>
                <w:ilvl w:val="0"/>
                <w:numId w:val="6"/>
              </w:numPr>
              <w:tabs>
                <w:tab w:val="clear" w:pos="720"/>
                <w:tab w:val="num" w:pos="432"/>
              </w:tabs>
              <w:ind w:left="421" w:firstLine="0"/>
            </w:pPr>
            <w:r w:rsidRPr="00680951">
              <w:t xml:space="preserve">bunuri </w:t>
            </w:r>
            <w:proofErr w:type="spellStart"/>
            <w:r w:rsidRPr="00680951">
              <w:t>şi</w:t>
            </w:r>
            <w:proofErr w:type="spellEnd"/>
            <w:r w:rsidRPr="00680951">
              <w:t xml:space="preserve"> servicii</w:t>
            </w:r>
            <w:r w:rsidRPr="00680951">
              <w:rPr>
                <w:bCs/>
              </w:rPr>
              <w:t xml:space="preserve"> </w:t>
            </w:r>
          </w:p>
        </w:tc>
        <w:tc>
          <w:tcPr>
            <w:tcW w:w="1276" w:type="dxa"/>
            <w:tcBorders>
              <w:top w:val="single" w:sz="4" w:space="0" w:color="auto"/>
              <w:left w:val="single" w:sz="4" w:space="0" w:color="auto"/>
              <w:right w:val="single" w:sz="4" w:space="0" w:color="auto"/>
            </w:tcBorders>
          </w:tcPr>
          <w:p w:rsidR="00626236" w:rsidRPr="00680951" w:rsidRDefault="00626236" w:rsidP="00680951">
            <w:pPr>
              <w:autoSpaceDE w:val="0"/>
              <w:autoSpaceDN w:val="0"/>
              <w:adjustRightInd w:val="0"/>
              <w:jc w:val="center"/>
              <w:rPr>
                <w:b/>
                <w:color w:val="FF0000"/>
              </w:rPr>
            </w:pPr>
          </w:p>
        </w:tc>
        <w:tc>
          <w:tcPr>
            <w:tcW w:w="1181" w:type="dxa"/>
            <w:tcBorders>
              <w:top w:val="single" w:sz="4" w:space="0" w:color="auto"/>
              <w:left w:val="single" w:sz="4" w:space="0" w:color="auto"/>
              <w:right w:val="single" w:sz="4" w:space="0" w:color="auto"/>
            </w:tcBorders>
          </w:tcPr>
          <w:p w:rsidR="0037697A" w:rsidRPr="00680951" w:rsidRDefault="0037697A" w:rsidP="00680951">
            <w:pPr>
              <w:pStyle w:val="Header"/>
              <w:tabs>
                <w:tab w:val="left" w:pos="175"/>
              </w:tabs>
              <w:jc w:val="center"/>
              <w:rPr>
                <w:rFonts w:ascii="Times New Roman" w:hAnsi="Times New Roman"/>
                <w:color w:val="000000"/>
                <w:sz w:val="24"/>
                <w:szCs w:val="24"/>
                <w:lang w:val="ro-RO"/>
              </w:rPr>
            </w:pPr>
          </w:p>
        </w:tc>
        <w:tc>
          <w:tcPr>
            <w:tcW w:w="1276" w:type="dxa"/>
            <w:tcBorders>
              <w:top w:val="single" w:sz="4" w:space="0" w:color="auto"/>
              <w:left w:val="single" w:sz="4" w:space="0" w:color="auto"/>
              <w:right w:val="single" w:sz="4" w:space="0" w:color="auto"/>
            </w:tcBorders>
          </w:tcPr>
          <w:p w:rsidR="00BF073B" w:rsidRPr="00680951" w:rsidRDefault="00BF073B" w:rsidP="00680951">
            <w:pPr>
              <w:jc w:val="center"/>
            </w:pPr>
          </w:p>
        </w:tc>
        <w:tc>
          <w:tcPr>
            <w:tcW w:w="1417" w:type="dxa"/>
            <w:tcBorders>
              <w:top w:val="single" w:sz="4" w:space="0" w:color="auto"/>
              <w:left w:val="single" w:sz="4" w:space="0" w:color="auto"/>
              <w:right w:val="single" w:sz="4" w:space="0" w:color="auto"/>
            </w:tcBorders>
          </w:tcPr>
          <w:p w:rsidR="00BF073B" w:rsidRPr="00680951" w:rsidRDefault="00BF073B" w:rsidP="00680951">
            <w:pPr>
              <w:jc w:val="right"/>
            </w:pPr>
          </w:p>
        </w:tc>
        <w:tc>
          <w:tcPr>
            <w:tcW w:w="1134" w:type="dxa"/>
            <w:tcBorders>
              <w:top w:val="single" w:sz="4" w:space="0" w:color="auto"/>
              <w:left w:val="single" w:sz="4" w:space="0" w:color="auto"/>
              <w:right w:val="single" w:sz="4" w:space="0" w:color="auto"/>
            </w:tcBorders>
          </w:tcPr>
          <w:p w:rsidR="00BF073B" w:rsidRPr="00680951" w:rsidRDefault="00BF073B" w:rsidP="00680951">
            <w:pPr>
              <w:jc w:val="center"/>
            </w:pPr>
          </w:p>
        </w:tc>
        <w:tc>
          <w:tcPr>
            <w:tcW w:w="1428" w:type="dxa"/>
            <w:tcBorders>
              <w:top w:val="single" w:sz="4" w:space="0" w:color="auto"/>
              <w:left w:val="single" w:sz="4" w:space="0" w:color="auto"/>
              <w:bottom w:val="single" w:sz="4" w:space="0" w:color="auto"/>
              <w:right w:val="single" w:sz="4" w:space="0" w:color="auto"/>
            </w:tcBorders>
          </w:tcPr>
          <w:p w:rsidR="00EE179F" w:rsidRPr="00680951" w:rsidRDefault="00EE179F" w:rsidP="00680951">
            <w:pPr>
              <w:jc w:val="center"/>
            </w:pPr>
          </w:p>
        </w:tc>
      </w:tr>
      <w:tr w:rsidR="000C608D" w:rsidRPr="00680951" w:rsidTr="00CA7710">
        <w:tc>
          <w:tcPr>
            <w:tcW w:w="246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jc w:val="both"/>
            </w:pPr>
            <w:r w:rsidRPr="00680951">
              <w:rPr>
                <w:bCs/>
              </w:rPr>
              <w:t xml:space="preserve">3. </w:t>
            </w:r>
            <w:r w:rsidRPr="00680951">
              <w:t>Impact financiar plus/minus, din care:</w:t>
            </w:r>
          </w:p>
          <w:p w:rsidR="000C608D" w:rsidRPr="00680951" w:rsidRDefault="000C608D" w:rsidP="00680951">
            <w:pPr>
              <w:jc w:val="both"/>
            </w:pPr>
            <w:r w:rsidRPr="00680951">
              <w:t>a)</w:t>
            </w:r>
            <w:r w:rsidRPr="00680951">
              <w:rPr>
                <w:vertAlign w:val="superscript"/>
              </w:rPr>
              <w:t xml:space="preserve"> </w:t>
            </w:r>
            <w:r w:rsidRPr="00680951">
              <w:t>buget de stat</w:t>
            </w:r>
          </w:p>
          <w:p w:rsidR="000C608D" w:rsidRPr="00680951" w:rsidRDefault="000C608D" w:rsidP="00680951">
            <w:pPr>
              <w:rPr>
                <w:bCs/>
              </w:rPr>
            </w:pPr>
            <w:r w:rsidRPr="00680951">
              <w:t>b) bugete locale</w:t>
            </w:r>
          </w:p>
        </w:tc>
        <w:tc>
          <w:tcPr>
            <w:tcW w:w="1276" w:type="dxa"/>
            <w:tcBorders>
              <w:top w:val="single" w:sz="4" w:space="0" w:color="auto"/>
              <w:left w:val="single" w:sz="4" w:space="0" w:color="auto"/>
              <w:bottom w:val="single" w:sz="4" w:space="0" w:color="auto"/>
              <w:right w:val="single" w:sz="4" w:space="0" w:color="auto"/>
            </w:tcBorders>
          </w:tcPr>
          <w:p w:rsidR="000E3ADE" w:rsidRPr="00680951" w:rsidRDefault="000E3ADE" w:rsidP="00680951">
            <w:pPr>
              <w:jc w:val="center"/>
            </w:pPr>
          </w:p>
        </w:tc>
        <w:tc>
          <w:tcPr>
            <w:tcW w:w="1181"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jc w:val="center"/>
            </w:pPr>
          </w:p>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jc w:val="center"/>
            </w:pPr>
          </w:p>
        </w:tc>
        <w:tc>
          <w:tcPr>
            <w:tcW w:w="1417"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34" w:type="dxa"/>
            <w:tcBorders>
              <w:top w:val="single" w:sz="4" w:space="0" w:color="auto"/>
              <w:left w:val="single" w:sz="4" w:space="0" w:color="auto"/>
              <w:bottom w:val="single" w:sz="4" w:space="0" w:color="auto"/>
              <w:right w:val="single" w:sz="4" w:space="0" w:color="auto"/>
            </w:tcBorders>
          </w:tcPr>
          <w:p w:rsidR="000E3ADE" w:rsidRPr="00680951" w:rsidRDefault="000E3ADE" w:rsidP="00680951">
            <w:pPr>
              <w:jc w:val="right"/>
            </w:pPr>
          </w:p>
        </w:tc>
        <w:tc>
          <w:tcPr>
            <w:tcW w:w="1428" w:type="dxa"/>
            <w:tcBorders>
              <w:top w:val="single" w:sz="4" w:space="0" w:color="auto"/>
              <w:left w:val="single" w:sz="4" w:space="0" w:color="auto"/>
              <w:bottom w:val="single" w:sz="4" w:space="0" w:color="auto"/>
              <w:right w:val="single" w:sz="4" w:space="0" w:color="auto"/>
            </w:tcBorders>
          </w:tcPr>
          <w:p w:rsidR="00C828DA" w:rsidRPr="00680951" w:rsidRDefault="00C828DA" w:rsidP="00680951">
            <w:pPr>
              <w:jc w:val="center"/>
            </w:pPr>
          </w:p>
        </w:tc>
      </w:tr>
      <w:tr w:rsidR="000C608D" w:rsidRPr="00680951" w:rsidTr="00CA7710">
        <w:tc>
          <w:tcPr>
            <w:tcW w:w="246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rPr>
                <w:bCs/>
              </w:rPr>
            </w:pPr>
            <w:r w:rsidRPr="00680951">
              <w:rPr>
                <w:bCs/>
              </w:rPr>
              <w:t>4.</w:t>
            </w:r>
            <w:r w:rsidRPr="00680951">
              <w:t xml:space="preserve"> Propuneri pentru acoperirea </w:t>
            </w:r>
            <w:proofErr w:type="spellStart"/>
            <w:r w:rsidRPr="00680951">
              <w:t>creşterii</w:t>
            </w:r>
            <w:proofErr w:type="spellEnd"/>
            <w:r w:rsidRPr="00680951">
              <w:t xml:space="preserve"> cheltuielilor bugetare</w:t>
            </w:r>
          </w:p>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81"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417"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34"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428"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r>
      <w:tr w:rsidR="000C608D" w:rsidRPr="00680951" w:rsidTr="00CA7710">
        <w:tc>
          <w:tcPr>
            <w:tcW w:w="2466" w:type="dxa"/>
            <w:tcBorders>
              <w:top w:val="single" w:sz="4" w:space="0" w:color="auto"/>
              <w:left w:val="single" w:sz="4" w:space="0" w:color="auto"/>
              <w:bottom w:val="single" w:sz="4" w:space="0" w:color="auto"/>
              <w:right w:val="single" w:sz="4" w:space="0" w:color="auto"/>
            </w:tcBorders>
          </w:tcPr>
          <w:p w:rsidR="000C608D" w:rsidRPr="00680951" w:rsidRDefault="000C608D" w:rsidP="00680951">
            <w:r w:rsidRPr="00680951">
              <w:t>5. Propuneri pentru a compensa reducerea veniturilor bugetare</w:t>
            </w:r>
          </w:p>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autoSpaceDE w:val="0"/>
              <w:autoSpaceDN w:val="0"/>
              <w:adjustRightInd w:val="0"/>
              <w:jc w:val="both"/>
            </w:pPr>
          </w:p>
        </w:tc>
        <w:tc>
          <w:tcPr>
            <w:tcW w:w="1181"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417"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34"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428"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r>
      <w:tr w:rsidR="00B9781B" w:rsidRPr="00680951" w:rsidTr="00CA7710">
        <w:trPr>
          <w:trHeight w:val="1266"/>
        </w:trPr>
        <w:tc>
          <w:tcPr>
            <w:tcW w:w="2466" w:type="dxa"/>
            <w:tcBorders>
              <w:top w:val="single" w:sz="4" w:space="0" w:color="auto"/>
              <w:left w:val="single" w:sz="4" w:space="0" w:color="auto"/>
              <w:bottom w:val="single" w:sz="4" w:space="0" w:color="auto"/>
              <w:right w:val="single" w:sz="4" w:space="0" w:color="auto"/>
            </w:tcBorders>
          </w:tcPr>
          <w:p w:rsidR="00426CDC" w:rsidRPr="00680951" w:rsidRDefault="00B9781B" w:rsidP="00680951">
            <w:r w:rsidRPr="00680951">
              <w:t xml:space="preserve">6. Calcule detaliate privind fundamentarea modificărilor veniturilor </w:t>
            </w:r>
            <w:proofErr w:type="spellStart"/>
            <w:r w:rsidRPr="00680951">
              <w:t>şi</w:t>
            </w:r>
            <w:proofErr w:type="spellEnd"/>
            <w:r w:rsidRPr="00680951">
              <w:t xml:space="preserve">/sau </w:t>
            </w:r>
            <w:r w:rsidRPr="00680951">
              <w:lastRenderedPageBreak/>
              <w:t>cheltuielilor bugetare</w:t>
            </w:r>
          </w:p>
        </w:tc>
        <w:tc>
          <w:tcPr>
            <w:tcW w:w="7712" w:type="dxa"/>
            <w:gridSpan w:val="6"/>
            <w:tcBorders>
              <w:top w:val="single" w:sz="4" w:space="0" w:color="auto"/>
              <w:left w:val="single" w:sz="4" w:space="0" w:color="auto"/>
              <w:bottom w:val="single" w:sz="4" w:space="0" w:color="auto"/>
              <w:right w:val="single" w:sz="4" w:space="0" w:color="auto"/>
            </w:tcBorders>
          </w:tcPr>
          <w:p w:rsidR="00B2425D" w:rsidRPr="00680951" w:rsidRDefault="00B2425D" w:rsidP="00680951">
            <w:pPr>
              <w:autoSpaceDE w:val="0"/>
              <w:autoSpaceDN w:val="0"/>
              <w:adjustRightInd w:val="0"/>
              <w:jc w:val="both"/>
            </w:pPr>
          </w:p>
        </w:tc>
      </w:tr>
      <w:tr w:rsidR="000E3ADE"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0E3ADE" w:rsidRPr="00680951" w:rsidRDefault="000E3ADE" w:rsidP="00680951">
            <w:pPr>
              <w:spacing w:line="276" w:lineRule="auto"/>
              <w:rPr>
                <w:b/>
              </w:rPr>
            </w:pPr>
            <w:r w:rsidRPr="00680951">
              <w:rPr>
                <w:b/>
              </w:rPr>
              <w:t xml:space="preserve">7. Alte </w:t>
            </w:r>
            <w:proofErr w:type="spellStart"/>
            <w:r w:rsidRPr="00680951">
              <w:rPr>
                <w:b/>
              </w:rPr>
              <w:t>informaţii</w:t>
            </w:r>
            <w:proofErr w:type="spellEnd"/>
          </w:p>
          <w:p w:rsidR="00426CDC" w:rsidRPr="00680951" w:rsidRDefault="000E3ADE" w:rsidP="00D64C0A">
            <w:pPr>
              <w:jc w:val="both"/>
            </w:pPr>
            <w:r w:rsidRPr="00680951">
              <w:t>Asigurarea fondurilor ne</w:t>
            </w:r>
            <w:r w:rsidR="0011673B">
              <w:t>cesare implementării Programelor</w:t>
            </w:r>
            <w:r w:rsidRPr="00680951">
              <w:t xml:space="preserve"> de Interes </w:t>
            </w:r>
            <w:proofErr w:type="spellStart"/>
            <w:r w:rsidRPr="00680951">
              <w:t>Naţional</w:t>
            </w:r>
            <w:proofErr w:type="spellEnd"/>
            <w:r w:rsidRPr="00680951">
              <w:t xml:space="preserve"> </w:t>
            </w:r>
            <w:r w:rsidR="00D957DE" w:rsidRPr="00680951">
              <w:t xml:space="preserve">în anii </w:t>
            </w:r>
            <w:r w:rsidR="0011673B">
              <w:t>2019</w:t>
            </w:r>
            <w:r w:rsidR="00D64C0A">
              <w:t>-2021</w:t>
            </w:r>
            <w:r w:rsidRPr="00680951">
              <w:t xml:space="preserve"> se efectuează cu încadrarea în buge</w:t>
            </w:r>
            <w:r w:rsidR="00D64C0A">
              <w:t>tul aprobat Ministerului Muncii</w:t>
            </w:r>
            <w:r w:rsidRPr="00680951">
              <w:t xml:space="preserve"> </w:t>
            </w:r>
            <w:r w:rsidR="00F61D0A" w:rsidRPr="00680951">
              <w:t xml:space="preserve">și </w:t>
            </w:r>
            <w:r w:rsidR="00D64C0A">
              <w:t>Protecției</w:t>
            </w:r>
            <w:r w:rsidRPr="00680951">
              <w:t xml:space="preserve"> Sociale, </w:t>
            </w:r>
            <w:r w:rsidR="00DA7438" w:rsidRPr="00680951">
              <w:t>respectiv Autorității</w:t>
            </w:r>
            <w:r w:rsidRPr="00680951">
              <w:t xml:space="preserve"> </w:t>
            </w:r>
            <w:proofErr w:type="spellStart"/>
            <w:r w:rsidRPr="00680951">
              <w:t>Naţional</w:t>
            </w:r>
            <w:r w:rsidR="00DA7438" w:rsidRPr="00680951">
              <w:t>e</w:t>
            </w:r>
            <w:proofErr w:type="spellEnd"/>
            <w:r w:rsidRPr="00680951">
              <w:t xml:space="preserve"> pentru </w:t>
            </w:r>
            <w:r w:rsidR="00D64C0A">
              <w:t>Drepturile Persoanelor</w:t>
            </w:r>
            <w:r w:rsidRPr="00680951">
              <w:t xml:space="preserve"> cu </w:t>
            </w:r>
            <w:proofErr w:type="spellStart"/>
            <w:r w:rsidRPr="00680951">
              <w:t>Dizabilităţi</w:t>
            </w:r>
            <w:proofErr w:type="spellEnd"/>
            <w:r w:rsidR="00D64C0A">
              <w:t>, Copii și Adopții pe anul 2020</w:t>
            </w:r>
            <w:r w:rsidR="00FC16AB">
              <w:t xml:space="preserve"> și estimările pe anii următori</w:t>
            </w:r>
            <w:r w:rsidRPr="00680951">
              <w:t>.</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rPr>
                <w:b/>
              </w:rPr>
            </w:pPr>
            <w:proofErr w:type="spellStart"/>
            <w:r w:rsidRPr="00680951">
              <w:rPr>
                <w:b/>
              </w:rPr>
              <w:t>Secţiunea</w:t>
            </w:r>
            <w:proofErr w:type="spellEnd"/>
            <w:r w:rsidRPr="00680951">
              <w:rPr>
                <w:b/>
              </w:rPr>
              <w:t xml:space="preserve"> a 5-a</w:t>
            </w:r>
          </w:p>
          <w:p w:rsidR="0011029F" w:rsidRPr="00680951" w:rsidRDefault="00B9781B">
            <w:pPr>
              <w:spacing w:line="276" w:lineRule="auto"/>
              <w:jc w:val="center"/>
              <w:rPr>
                <w:b/>
              </w:rPr>
            </w:pPr>
            <w:r w:rsidRPr="00680951">
              <w:rPr>
                <w:b/>
              </w:rPr>
              <w:t xml:space="preserve">Efectele </w:t>
            </w:r>
            <w:r w:rsidR="00A12995" w:rsidRPr="00680951">
              <w:rPr>
                <w:b/>
              </w:rPr>
              <w:t>prezentului</w:t>
            </w:r>
            <w:r w:rsidRPr="00680951">
              <w:rPr>
                <w:b/>
              </w:rPr>
              <w:t xml:space="preserve"> act normativ asupra </w:t>
            </w:r>
            <w:proofErr w:type="spellStart"/>
            <w:r w:rsidRPr="00680951">
              <w:rPr>
                <w:b/>
              </w:rPr>
              <w:t>legislaţiei</w:t>
            </w:r>
            <w:proofErr w:type="spellEnd"/>
            <w:r w:rsidRPr="00680951">
              <w:rPr>
                <w:b/>
              </w:rPr>
              <w:t xml:space="preserve"> în vigoare</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pStyle w:val="HTMLPreformatted"/>
              <w:spacing w:line="276" w:lineRule="auto"/>
              <w:jc w:val="both"/>
              <w:rPr>
                <w:rFonts w:ascii="Times New Roman" w:hAnsi="Times New Roman"/>
                <w:b/>
                <w:sz w:val="24"/>
                <w:szCs w:val="24"/>
                <w:lang w:val="ro-RO"/>
              </w:rPr>
            </w:pPr>
            <w:r w:rsidRPr="00680951">
              <w:rPr>
                <w:rFonts w:ascii="Times New Roman" w:hAnsi="Times New Roman"/>
                <w:b/>
                <w:sz w:val="24"/>
                <w:szCs w:val="24"/>
                <w:lang w:val="ro-RO"/>
              </w:rPr>
              <w:t xml:space="preserve">1. Măsuri normative necesare pentru aplicarea prevederilor </w:t>
            </w:r>
            <w:r w:rsidR="00A12995" w:rsidRPr="00680951">
              <w:rPr>
                <w:rFonts w:ascii="Times New Roman" w:hAnsi="Times New Roman"/>
                <w:b/>
                <w:sz w:val="24"/>
                <w:szCs w:val="24"/>
                <w:lang w:val="ro-RO"/>
              </w:rPr>
              <w:t>prezentului</w:t>
            </w:r>
            <w:r w:rsidRPr="00680951">
              <w:rPr>
                <w:rFonts w:ascii="Times New Roman" w:hAnsi="Times New Roman"/>
                <w:b/>
                <w:sz w:val="24"/>
                <w:szCs w:val="24"/>
                <w:lang w:val="ro-RO"/>
              </w:rPr>
              <w:t xml:space="preserve"> act normativ:                                                            </w:t>
            </w:r>
          </w:p>
          <w:p w:rsidR="00723E59" w:rsidRPr="00680951" w:rsidRDefault="00723E59" w:rsidP="00680951">
            <w:pPr>
              <w:pStyle w:val="HTMLPreformatted"/>
              <w:spacing w:line="276" w:lineRule="auto"/>
              <w:jc w:val="both"/>
              <w:rPr>
                <w:rFonts w:ascii="Times New Roman" w:hAnsi="Times New Roman"/>
                <w:b/>
                <w:sz w:val="24"/>
                <w:szCs w:val="24"/>
                <w:lang w:val="ro-RO"/>
              </w:rPr>
            </w:pPr>
            <w:r w:rsidRPr="00680951">
              <w:rPr>
                <w:rFonts w:ascii="Times New Roman" w:hAnsi="Times New Roman"/>
                <w:b/>
                <w:sz w:val="24"/>
                <w:szCs w:val="24"/>
                <w:lang w:val="ro-RO"/>
              </w:rPr>
              <w:t xml:space="preserve">a) acte normative în vigoare ce vor fi modificate sau abrogate, ca urmare a intrării în vigoare a </w:t>
            </w:r>
            <w:r w:rsidR="00A12995" w:rsidRPr="00680951">
              <w:rPr>
                <w:rFonts w:ascii="Times New Roman" w:hAnsi="Times New Roman"/>
                <w:b/>
                <w:sz w:val="24"/>
                <w:szCs w:val="24"/>
                <w:lang w:val="ro-RO"/>
              </w:rPr>
              <w:t>prezentului</w:t>
            </w:r>
            <w:r w:rsidRPr="00680951">
              <w:rPr>
                <w:rFonts w:ascii="Times New Roman" w:hAnsi="Times New Roman"/>
                <w:b/>
                <w:sz w:val="24"/>
                <w:szCs w:val="24"/>
                <w:lang w:val="ro-RO"/>
              </w:rPr>
              <w:t xml:space="preserve"> act normativ</w:t>
            </w:r>
          </w:p>
          <w:p w:rsidR="00723E59" w:rsidRPr="00680951" w:rsidRDefault="00723E59" w:rsidP="00680951">
            <w:pPr>
              <w:autoSpaceDE w:val="0"/>
              <w:autoSpaceDN w:val="0"/>
              <w:adjustRightInd w:val="0"/>
              <w:spacing w:line="276" w:lineRule="auto"/>
              <w:jc w:val="both"/>
            </w:pPr>
            <w:r w:rsidRPr="00680951">
              <w:rPr>
                <w:b/>
              </w:rPr>
              <w:t xml:space="preserve"> </w:t>
            </w:r>
            <w:r w:rsidR="003267AE" w:rsidRPr="00B343DA">
              <w:rPr>
                <w:b/>
                <w:u w:val="single"/>
              </w:rPr>
              <w:t>Proiectul de</w:t>
            </w:r>
            <w:r w:rsidR="001E61DB">
              <w:rPr>
                <w:b/>
              </w:rPr>
              <w:t xml:space="preserve"> </w:t>
            </w:r>
            <w:r w:rsidRPr="00680951">
              <w:t xml:space="preserve"> act normativ nu se referă la acest subiect.</w:t>
            </w:r>
          </w:p>
          <w:p w:rsidR="00723E59" w:rsidRPr="00680951" w:rsidRDefault="00723E59" w:rsidP="00680951">
            <w:pPr>
              <w:spacing w:line="276" w:lineRule="auto"/>
              <w:jc w:val="both"/>
            </w:pPr>
            <w:r w:rsidRPr="00680951">
              <w:rPr>
                <w:b/>
              </w:rPr>
              <w:t>b)</w:t>
            </w:r>
            <w:r w:rsidRPr="00680951">
              <w:t xml:space="preserve"> </w:t>
            </w:r>
            <w:r w:rsidRPr="00680951">
              <w:rPr>
                <w:b/>
              </w:rPr>
              <w:t xml:space="preserve">acte normative ce urmează a fi elaborate în vederea implementării noilor </w:t>
            </w:r>
            <w:proofErr w:type="spellStart"/>
            <w:r w:rsidRPr="00680951">
              <w:rPr>
                <w:b/>
              </w:rPr>
              <w:t>dispozitii</w:t>
            </w:r>
            <w:proofErr w:type="spellEnd"/>
            <w:r w:rsidRPr="00680951">
              <w:rPr>
                <w:b/>
              </w:rPr>
              <w:t>.</w:t>
            </w:r>
          </w:p>
          <w:p w:rsidR="004E4C95" w:rsidRPr="008D2821" w:rsidRDefault="004E4C95">
            <w:pPr>
              <w:spacing w:line="276" w:lineRule="auto"/>
              <w:jc w:val="both"/>
              <w:rPr>
                <w:bCs/>
                <w:strike/>
              </w:rPr>
            </w:pPr>
            <w:r w:rsidRPr="006D2B0D">
              <w:t>Nu este cazul.</w:t>
            </w:r>
          </w:p>
        </w:tc>
      </w:tr>
      <w:tr w:rsidR="005A5553" w:rsidRPr="00680951" w:rsidTr="00CA7710">
        <w:trPr>
          <w:trHeight w:val="1856"/>
        </w:trPr>
        <w:tc>
          <w:tcPr>
            <w:tcW w:w="10178" w:type="dxa"/>
            <w:gridSpan w:val="7"/>
            <w:tcBorders>
              <w:top w:val="single" w:sz="4" w:space="0" w:color="auto"/>
              <w:left w:val="single" w:sz="4" w:space="0" w:color="auto"/>
              <w:bottom w:val="single" w:sz="4" w:space="0" w:color="auto"/>
              <w:right w:val="single" w:sz="4" w:space="0" w:color="auto"/>
            </w:tcBorders>
          </w:tcPr>
          <w:p w:rsidR="005A5553" w:rsidRPr="00680951" w:rsidRDefault="005A5553" w:rsidP="00680951">
            <w:pPr>
              <w:jc w:val="both"/>
              <w:rPr>
                <w:b/>
              </w:rPr>
            </w:pPr>
            <w:r w:rsidRPr="00680951">
              <w:rPr>
                <w:b/>
                <w:bCs/>
              </w:rPr>
              <w:t>1</w:t>
            </w:r>
            <w:r w:rsidRPr="00680951">
              <w:rPr>
                <w:b/>
                <w:bCs/>
                <w:vertAlign w:val="superscript"/>
              </w:rPr>
              <w:t>1</w:t>
            </w:r>
            <w:r w:rsidR="00985DC1" w:rsidRPr="00680951">
              <w:rPr>
                <w:b/>
                <w:bCs/>
              </w:rPr>
              <w:t>.</w:t>
            </w:r>
            <w:r w:rsidRPr="00680951">
              <w:rPr>
                <w:b/>
                <w:bCs/>
                <w:vertAlign w:val="superscript"/>
              </w:rPr>
              <w:t xml:space="preserve"> </w:t>
            </w:r>
            <w:r w:rsidRPr="00680951">
              <w:rPr>
                <w:b/>
              </w:rPr>
              <w:t xml:space="preserve">Compatibilitatea </w:t>
            </w:r>
            <w:r w:rsidR="004220BD" w:rsidRPr="00680951">
              <w:rPr>
                <w:b/>
              </w:rPr>
              <w:t>prezentului</w:t>
            </w:r>
            <w:r w:rsidRPr="00680951">
              <w:rPr>
                <w:b/>
              </w:rPr>
              <w:t xml:space="preserve"> act normativ cu </w:t>
            </w:r>
            <w:proofErr w:type="spellStart"/>
            <w:r w:rsidRPr="00680951">
              <w:rPr>
                <w:b/>
              </w:rPr>
              <w:t>legislaţia</w:t>
            </w:r>
            <w:proofErr w:type="spellEnd"/>
            <w:r w:rsidRPr="00680951">
              <w:rPr>
                <w:b/>
              </w:rPr>
              <w:t xml:space="preserve"> </w:t>
            </w:r>
            <w:r w:rsidR="00723E59" w:rsidRPr="00680951">
              <w:rPr>
                <w:b/>
              </w:rPr>
              <w:t>î</w:t>
            </w:r>
            <w:r w:rsidR="00E15E03" w:rsidRPr="00680951">
              <w:rPr>
                <w:b/>
              </w:rPr>
              <w:t xml:space="preserve">n domeniul </w:t>
            </w:r>
            <w:proofErr w:type="spellStart"/>
            <w:r w:rsidR="00E15E03" w:rsidRPr="00680951">
              <w:rPr>
                <w:b/>
              </w:rPr>
              <w:t>achiziţiilor</w:t>
            </w:r>
            <w:proofErr w:type="spellEnd"/>
            <w:r w:rsidR="00E15E03" w:rsidRPr="00680951">
              <w:rPr>
                <w:b/>
              </w:rPr>
              <w:t xml:space="preserve"> publice</w:t>
            </w:r>
          </w:p>
          <w:p w:rsidR="00EA57F3" w:rsidRPr="00680951" w:rsidRDefault="00EA57F3" w:rsidP="00680951">
            <w:pPr>
              <w:jc w:val="both"/>
              <w:rPr>
                <w:b/>
              </w:rPr>
            </w:pPr>
            <w:r w:rsidRPr="00680951">
              <w:rPr>
                <w:b/>
              </w:rPr>
              <w:t xml:space="preserve">a) impact legislativ - prevederi de modificare </w:t>
            </w:r>
            <w:proofErr w:type="spellStart"/>
            <w:r w:rsidRPr="00680951">
              <w:rPr>
                <w:b/>
              </w:rPr>
              <w:t>şi</w:t>
            </w:r>
            <w:proofErr w:type="spellEnd"/>
            <w:r w:rsidRPr="00680951">
              <w:rPr>
                <w:b/>
              </w:rPr>
              <w:t xml:space="preserve"> completare a cadrului normativ în domeniul achizițiilor publice, prevederi derogatorii;</w:t>
            </w:r>
          </w:p>
          <w:p w:rsidR="00EA57F3" w:rsidRPr="00680951" w:rsidRDefault="00EA57F3" w:rsidP="00680951">
            <w:pPr>
              <w:jc w:val="both"/>
            </w:pPr>
            <w:r w:rsidRPr="00680951">
              <w:t>Nu este cazul.</w:t>
            </w:r>
          </w:p>
          <w:p w:rsidR="00EA57F3" w:rsidRPr="00680951" w:rsidRDefault="00EA57F3" w:rsidP="00680951">
            <w:pPr>
              <w:jc w:val="both"/>
            </w:pPr>
            <w:r w:rsidRPr="00680951">
              <w:rPr>
                <w:b/>
              </w:rPr>
              <w:t xml:space="preserve">b) norme cu impact la nivel </w:t>
            </w:r>
            <w:proofErr w:type="spellStart"/>
            <w:r w:rsidRPr="00680951">
              <w:rPr>
                <w:b/>
              </w:rPr>
              <w:t>operaţional</w:t>
            </w:r>
            <w:proofErr w:type="spellEnd"/>
            <w:r w:rsidRPr="00680951">
              <w:rPr>
                <w:b/>
              </w:rPr>
              <w:t xml:space="preserve">/tehnic - sisteme electronice utilizate în </w:t>
            </w:r>
            <w:proofErr w:type="spellStart"/>
            <w:r w:rsidRPr="00680951">
              <w:rPr>
                <w:b/>
              </w:rPr>
              <w:t>desfăşurarea</w:t>
            </w:r>
            <w:proofErr w:type="spellEnd"/>
            <w:r w:rsidRPr="00680951">
              <w:rPr>
                <w:b/>
              </w:rPr>
              <w:t xml:space="preserve"> procedurilor de </w:t>
            </w:r>
            <w:proofErr w:type="spellStart"/>
            <w:r w:rsidRPr="00680951">
              <w:rPr>
                <w:b/>
              </w:rPr>
              <w:t>achiziţie</w:t>
            </w:r>
            <w:proofErr w:type="spellEnd"/>
            <w:r w:rsidRPr="00680951">
              <w:rPr>
                <w:b/>
              </w:rPr>
              <w:t xml:space="preserve"> publică, </w:t>
            </w:r>
            <w:proofErr w:type="spellStart"/>
            <w:r w:rsidRPr="00680951">
              <w:rPr>
                <w:b/>
              </w:rPr>
              <w:t>unităţi</w:t>
            </w:r>
            <w:proofErr w:type="spellEnd"/>
            <w:r w:rsidRPr="00680951">
              <w:rPr>
                <w:b/>
              </w:rPr>
              <w:t xml:space="preserve"> centralizate de achiziții publice, structură organizatorică internă a </w:t>
            </w:r>
            <w:proofErr w:type="spellStart"/>
            <w:r w:rsidRPr="00680951">
              <w:rPr>
                <w:b/>
              </w:rPr>
              <w:t>autorităţilor</w:t>
            </w:r>
            <w:proofErr w:type="spellEnd"/>
            <w:r w:rsidRPr="00680951">
              <w:rPr>
                <w:b/>
              </w:rPr>
              <w:t xml:space="preserve"> contractante.</w:t>
            </w:r>
          </w:p>
          <w:p w:rsidR="00D57623" w:rsidRPr="00680951" w:rsidRDefault="00EA57F3" w:rsidP="00680951">
            <w:pPr>
              <w:jc w:val="both"/>
            </w:pPr>
            <w:r w:rsidRPr="00680951">
              <w:t>Nu este cazul.</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537E2B" w:rsidP="00680951">
            <w:pPr>
              <w:spacing w:line="276" w:lineRule="auto"/>
              <w:jc w:val="both"/>
              <w:rPr>
                <w:b/>
              </w:rPr>
            </w:pPr>
            <w:r w:rsidRPr="00680951">
              <w:rPr>
                <w:b/>
              </w:rPr>
              <w:t>2.Conformitatea prezentului</w:t>
            </w:r>
            <w:r w:rsidR="00B9781B" w:rsidRPr="00680951">
              <w:rPr>
                <w:b/>
              </w:rPr>
              <w:t xml:space="preserve"> act normativ</w:t>
            </w:r>
            <w:r w:rsidR="00B9781B" w:rsidRPr="00680951">
              <w:t xml:space="preserve"> </w:t>
            </w:r>
            <w:r w:rsidR="00B9781B" w:rsidRPr="00680951">
              <w:rPr>
                <w:b/>
              </w:rPr>
              <w:t xml:space="preserve">cu </w:t>
            </w:r>
            <w:proofErr w:type="spellStart"/>
            <w:r w:rsidR="00B9781B" w:rsidRPr="00680951">
              <w:rPr>
                <w:b/>
              </w:rPr>
              <w:t>legislaţia</w:t>
            </w:r>
            <w:proofErr w:type="spellEnd"/>
            <w:r w:rsidR="00B9781B" w:rsidRPr="00680951">
              <w:rPr>
                <w:b/>
              </w:rPr>
              <w:t xml:space="preserve"> comunitară în materie cazul proiectelor ce transpun prevederi comunitare                     </w:t>
            </w:r>
          </w:p>
          <w:p w:rsidR="00AF1105" w:rsidRPr="00680951" w:rsidRDefault="001E61DB" w:rsidP="001E61DB">
            <w:pPr>
              <w:spacing w:line="276" w:lineRule="auto"/>
              <w:jc w:val="both"/>
            </w:pPr>
            <w:r>
              <w:t xml:space="preserve">Proiectul de </w:t>
            </w:r>
            <w:r w:rsidR="00AF1105" w:rsidRPr="00680951">
              <w:t>act normativ nu se refer</w:t>
            </w:r>
            <w:r w:rsidR="000B2E28" w:rsidRPr="00680951">
              <w:t>ă</w:t>
            </w:r>
            <w:r w:rsidR="00AF1105" w:rsidRPr="00680951">
              <w:t xml:space="preserve"> la acest subiect.                  </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pPr>
            <w:r w:rsidRPr="00680951">
              <w:rPr>
                <w:b/>
              </w:rPr>
              <w:t>3. Măsuri normative necesare aplicării directe a actelor normative comunitare</w:t>
            </w:r>
            <w:r w:rsidRPr="00680951">
              <w:t xml:space="preserve">  </w:t>
            </w:r>
          </w:p>
          <w:p w:rsidR="00D57623" w:rsidRPr="00680951" w:rsidRDefault="00B9781B" w:rsidP="001E61DB">
            <w:pPr>
              <w:spacing w:line="276" w:lineRule="auto"/>
              <w:jc w:val="both"/>
            </w:pPr>
            <w:r w:rsidRPr="00680951">
              <w:t xml:space="preserve"> </w:t>
            </w:r>
            <w:r w:rsidR="001E61DB">
              <w:t xml:space="preserve">Proiectul de act </w:t>
            </w:r>
            <w:r w:rsidRPr="00680951">
              <w:t xml:space="preserve"> </w:t>
            </w:r>
            <w:proofErr w:type="spellStart"/>
            <w:r w:rsidRPr="00680951">
              <w:t>act</w:t>
            </w:r>
            <w:proofErr w:type="spellEnd"/>
            <w:r w:rsidRPr="00680951">
              <w:t xml:space="preserve"> normativ nu se refer</w:t>
            </w:r>
            <w:r w:rsidR="000B2E28" w:rsidRPr="00680951">
              <w:t>ă</w:t>
            </w:r>
            <w:r w:rsidR="00E3526A" w:rsidRPr="00680951">
              <w:t xml:space="preserve"> la acest subiect.    </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pPr>
            <w:r w:rsidRPr="00680951">
              <w:rPr>
                <w:b/>
              </w:rPr>
              <w:t xml:space="preserve">4. Hotărâri ale </w:t>
            </w:r>
            <w:proofErr w:type="spellStart"/>
            <w:r w:rsidRPr="00680951">
              <w:rPr>
                <w:b/>
              </w:rPr>
              <w:t>Curţii</w:t>
            </w:r>
            <w:proofErr w:type="spellEnd"/>
            <w:r w:rsidRPr="00680951">
              <w:rPr>
                <w:b/>
              </w:rPr>
              <w:t xml:space="preserve"> de </w:t>
            </w:r>
            <w:proofErr w:type="spellStart"/>
            <w:r w:rsidRPr="00680951">
              <w:rPr>
                <w:b/>
              </w:rPr>
              <w:t>Justiţie</w:t>
            </w:r>
            <w:proofErr w:type="spellEnd"/>
            <w:r w:rsidRPr="00680951">
              <w:rPr>
                <w:b/>
              </w:rPr>
              <w:t xml:space="preserve"> a Uniunii  Europene</w:t>
            </w:r>
            <w:r w:rsidRPr="00680951">
              <w:t xml:space="preserve"> </w:t>
            </w:r>
          </w:p>
          <w:p w:rsidR="00B9781B" w:rsidRPr="00680951" w:rsidRDefault="001E61DB" w:rsidP="001E61DB">
            <w:pPr>
              <w:spacing w:line="276" w:lineRule="auto"/>
              <w:jc w:val="both"/>
            </w:pPr>
            <w:r>
              <w:t xml:space="preserve">Proiectul de </w:t>
            </w:r>
            <w:r w:rsidR="00B9781B" w:rsidRPr="00680951">
              <w:t>act normativ nu se refer</w:t>
            </w:r>
            <w:r w:rsidR="000B2E28" w:rsidRPr="00680951">
              <w:t>ă</w:t>
            </w:r>
            <w:r w:rsidR="00B9781B" w:rsidRPr="00680951">
              <w:t xml:space="preserve"> la acest subiect.                                               </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bCs/>
              </w:rPr>
            </w:pPr>
            <w:r w:rsidRPr="00680951">
              <w:rPr>
                <w:b/>
              </w:rPr>
              <w:t>5.</w:t>
            </w:r>
            <w:r w:rsidRPr="00680951">
              <w:rPr>
                <w:b/>
                <w:bCs/>
              </w:rPr>
              <w:t xml:space="preserve"> Alte acte normative </w:t>
            </w:r>
            <w:proofErr w:type="spellStart"/>
            <w:r w:rsidRPr="00680951">
              <w:rPr>
                <w:b/>
                <w:bCs/>
              </w:rPr>
              <w:t>şi</w:t>
            </w:r>
            <w:proofErr w:type="spellEnd"/>
            <w:r w:rsidRPr="00680951">
              <w:rPr>
                <w:b/>
                <w:bCs/>
              </w:rPr>
              <w:t xml:space="preserve"> sau documente </w:t>
            </w:r>
            <w:proofErr w:type="spellStart"/>
            <w:r w:rsidRPr="00680951">
              <w:rPr>
                <w:b/>
                <w:bCs/>
              </w:rPr>
              <w:t>internaţionale</w:t>
            </w:r>
            <w:proofErr w:type="spellEnd"/>
            <w:r w:rsidRPr="00680951">
              <w:rPr>
                <w:b/>
                <w:bCs/>
              </w:rPr>
              <w:t xml:space="preserve"> din care decurg angajamente</w:t>
            </w:r>
          </w:p>
          <w:p w:rsidR="006A10DD" w:rsidRPr="00680951" w:rsidRDefault="00B9781B" w:rsidP="001E61DB">
            <w:pPr>
              <w:spacing w:line="276" w:lineRule="auto"/>
              <w:jc w:val="both"/>
            </w:pPr>
            <w:r w:rsidRPr="00680951">
              <w:t xml:space="preserve"> </w:t>
            </w:r>
            <w:r w:rsidR="001E61DB">
              <w:t xml:space="preserve">Proiectul de </w:t>
            </w:r>
            <w:r w:rsidR="00C5028F" w:rsidRPr="00680951">
              <w:t xml:space="preserve">act normativ nu se referă la acest subiect.                            </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D57623" w:rsidRPr="00680951" w:rsidRDefault="00783970" w:rsidP="00680951">
            <w:pPr>
              <w:spacing w:line="276" w:lineRule="auto"/>
              <w:jc w:val="both"/>
              <w:rPr>
                <w:b/>
              </w:rPr>
            </w:pPr>
            <w:r w:rsidRPr="00680951">
              <w:rPr>
                <w:b/>
              </w:rPr>
              <w:t xml:space="preserve">6. </w:t>
            </w:r>
            <w:r w:rsidR="00B9781B" w:rsidRPr="00680951">
              <w:rPr>
                <w:b/>
              </w:rPr>
              <w:t xml:space="preserve">Alte </w:t>
            </w:r>
            <w:proofErr w:type="spellStart"/>
            <w:r w:rsidR="00B9781B" w:rsidRPr="00680951">
              <w:rPr>
                <w:b/>
              </w:rPr>
              <w:t>informaţii</w:t>
            </w:r>
            <w:proofErr w:type="spellEnd"/>
          </w:p>
          <w:p w:rsidR="001277C8" w:rsidRPr="00680951" w:rsidRDefault="001277C8" w:rsidP="00680951">
            <w:pPr>
              <w:spacing w:line="276" w:lineRule="auto"/>
              <w:jc w:val="both"/>
            </w:pPr>
            <w:r w:rsidRPr="00680951">
              <w:t>Nu este cazul.</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EE1342">
            <w:pPr>
              <w:spacing w:line="276" w:lineRule="auto"/>
              <w:jc w:val="center"/>
              <w:rPr>
                <w:b/>
              </w:rPr>
            </w:pPr>
            <w:proofErr w:type="spellStart"/>
            <w:r w:rsidRPr="00680951">
              <w:rPr>
                <w:b/>
              </w:rPr>
              <w:t>Secţiunea</w:t>
            </w:r>
            <w:proofErr w:type="spellEnd"/>
            <w:r w:rsidRPr="00680951">
              <w:rPr>
                <w:b/>
              </w:rPr>
              <w:t xml:space="preserve"> a 6-a</w:t>
            </w:r>
          </w:p>
          <w:p w:rsidR="0011029F" w:rsidRPr="00680951" w:rsidRDefault="00B9781B">
            <w:pPr>
              <w:spacing w:line="276" w:lineRule="auto"/>
              <w:jc w:val="center"/>
              <w:rPr>
                <w:b/>
              </w:rPr>
            </w:pPr>
            <w:r w:rsidRPr="00680951">
              <w:rPr>
                <w:b/>
              </w:rPr>
              <w:t xml:space="preserve">Consultările efectuate în vederea elaborării </w:t>
            </w:r>
            <w:proofErr w:type="spellStart"/>
            <w:r w:rsidR="00A12995" w:rsidRPr="00680951">
              <w:rPr>
                <w:b/>
              </w:rPr>
              <w:t>pezentului</w:t>
            </w:r>
            <w:proofErr w:type="spellEnd"/>
            <w:r w:rsidRPr="00680951">
              <w:rPr>
                <w:b/>
              </w:rPr>
              <w:t xml:space="preserve"> act normativ</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0C5EF0" w:rsidRPr="00680951" w:rsidRDefault="000C5EF0" w:rsidP="00680951">
            <w:pPr>
              <w:spacing w:line="276" w:lineRule="auto"/>
              <w:jc w:val="both"/>
              <w:rPr>
                <w:b/>
                <w:bCs/>
              </w:rPr>
            </w:pPr>
            <w:r w:rsidRPr="00680951">
              <w:rPr>
                <w:b/>
              </w:rPr>
              <w:t xml:space="preserve">1. </w:t>
            </w:r>
            <w:proofErr w:type="spellStart"/>
            <w:r w:rsidRPr="00680951">
              <w:rPr>
                <w:b/>
              </w:rPr>
              <w:t>Informaţii</w:t>
            </w:r>
            <w:proofErr w:type="spellEnd"/>
            <w:r w:rsidRPr="00680951">
              <w:rPr>
                <w:b/>
              </w:rPr>
              <w:t xml:space="preserve"> privind procesul de consultare cu </w:t>
            </w:r>
            <w:proofErr w:type="spellStart"/>
            <w:r w:rsidRPr="00680951">
              <w:rPr>
                <w:b/>
              </w:rPr>
              <w:t>organizaţiile</w:t>
            </w:r>
            <w:proofErr w:type="spellEnd"/>
            <w:r w:rsidRPr="00680951">
              <w:rPr>
                <w:b/>
              </w:rPr>
              <w:t xml:space="preserve"> neguvernamentale, institute de cercetare </w:t>
            </w:r>
            <w:proofErr w:type="spellStart"/>
            <w:r w:rsidRPr="00680951">
              <w:rPr>
                <w:b/>
              </w:rPr>
              <w:t>şi</w:t>
            </w:r>
            <w:proofErr w:type="spellEnd"/>
            <w:r w:rsidRPr="00680951">
              <w:rPr>
                <w:b/>
              </w:rPr>
              <w:t xml:space="preserve"> alte organisme implicate</w:t>
            </w:r>
          </w:p>
          <w:p w:rsidR="00B9781B" w:rsidRPr="00680951" w:rsidRDefault="00A12995" w:rsidP="00680951">
            <w:pPr>
              <w:widowControl w:val="0"/>
              <w:overflowPunct w:val="0"/>
              <w:autoSpaceDE w:val="0"/>
              <w:autoSpaceDN w:val="0"/>
              <w:adjustRightInd w:val="0"/>
              <w:spacing w:line="276" w:lineRule="auto"/>
              <w:ind w:left="8"/>
              <w:jc w:val="both"/>
            </w:pPr>
            <w:r w:rsidRPr="00680951">
              <w:t>Prezentul</w:t>
            </w:r>
            <w:r w:rsidR="00F83518" w:rsidRPr="00680951">
              <w:t xml:space="preserve"> act normativ nu se referă la acest subiect.   </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bCs/>
              </w:rPr>
            </w:pPr>
            <w:r w:rsidRPr="00680951">
              <w:rPr>
                <w:b/>
              </w:rPr>
              <w:t xml:space="preserve">2. Fundamentarea alegerii </w:t>
            </w:r>
            <w:proofErr w:type="spellStart"/>
            <w:r w:rsidRPr="00680951">
              <w:rPr>
                <w:b/>
              </w:rPr>
              <w:t>organizaţiilor</w:t>
            </w:r>
            <w:proofErr w:type="spellEnd"/>
            <w:r w:rsidRPr="00680951">
              <w:rPr>
                <w:b/>
              </w:rPr>
              <w:t xml:space="preserve"> cu care a avut loc consultarea precum </w:t>
            </w:r>
            <w:proofErr w:type="spellStart"/>
            <w:r w:rsidRPr="00680951">
              <w:rPr>
                <w:b/>
                <w:bCs/>
              </w:rPr>
              <w:t>şi</w:t>
            </w:r>
            <w:proofErr w:type="spellEnd"/>
            <w:r w:rsidRPr="00680951">
              <w:rPr>
                <w:b/>
                <w:bCs/>
              </w:rPr>
              <w:t xml:space="preserve"> a modului în care activitatea acestor </w:t>
            </w:r>
            <w:proofErr w:type="spellStart"/>
            <w:r w:rsidRPr="00680951">
              <w:rPr>
                <w:b/>
                <w:bCs/>
              </w:rPr>
              <w:t>organizaţii</w:t>
            </w:r>
            <w:proofErr w:type="spellEnd"/>
            <w:r w:rsidRPr="00680951">
              <w:rPr>
                <w:b/>
                <w:bCs/>
              </w:rPr>
              <w:t xml:space="preserve"> este legată de obiectul </w:t>
            </w:r>
            <w:r w:rsidR="00A12995" w:rsidRPr="00680951">
              <w:rPr>
                <w:b/>
                <w:bCs/>
              </w:rPr>
              <w:t>prezentului</w:t>
            </w:r>
            <w:r w:rsidRPr="00680951">
              <w:rPr>
                <w:b/>
                <w:bCs/>
              </w:rPr>
              <w:t xml:space="preserve"> act normativ</w:t>
            </w:r>
          </w:p>
          <w:p w:rsidR="006A10DD" w:rsidRPr="00680951" w:rsidRDefault="00A12995" w:rsidP="00680951">
            <w:pPr>
              <w:spacing w:line="276" w:lineRule="auto"/>
              <w:jc w:val="both"/>
            </w:pPr>
            <w:r w:rsidRPr="00680951">
              <w:t>Prezentul</w:t>
            </w:r>
            <w:r w:rsidR="00F83518" w:rsidRPr="00680951">
              <w:t xml:space="preserve"> act normativ nu se referă la acest subiect.</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307874" w:rsidRPr="00680951" w:rsidRDefault="00B9781B" w:rsidP="00680951">
            <w:pPr>
              <w:jc w:val="both"/>
              <w:rPr>
                <w:b/>
                <w:bCs/>
              </w:rPr>
            </w:pPr>
            <w:r w:rsidRPr="00680951">
              <w:rPr>
                <w:b/>
              </w:rPr>
              <w:t xml:space="preserve">3. Consultările organizate cu </w:t>
            </w:r>
            <w:proofErr w:type="spellStart"/>
            <w:r w:rsidRPr="00680951">
              <w:rPr>
                <w:b/>
              </w:rPr>
              <w:t>autorităţile</w:t>
            </w:r>
            <w:proofErr w:type="spellEnd"/>
            <w:r w:rsidRPr="00680951">
              <w:rPr>
                <w:b/>
              </w:rPr>
              <w:t xml:space="preserve"> </w:t>
            </w:r>
            <w:proofErr w:type="spellStart"/>
            <w:r w:rsidRPr="00680951">
              <w:rPr>
                <w:b/>
                <w:bCs/>
              </w:rPr>
              <w:t>administraţiei</w:t>
            </w:r>
            <w:proofErr w:type="spellEnd"/>
            <w:r w:rsidRPr="00680951">
              <w:rPr>
                <w:b/>
                <w:bCs/>
              </w:rPr>
              <w:t xml:space="preserve"> </w:t>
            </w:r>
            <w:r w:rsidRPr="00680951">
              <w:rPr>
                <w:b/>
              </w:rPr>
              <w:t xml:space="preserve">publice locale, în </w:t>
            </w:r>
            <w:proofErr w:type="spellStart"/>
            <w:r w:rsidRPr="00680951">
              <w:rPr>
                <w:b/>
              </w:rPr>
              <w:t>situaţia</w:t>
            </w:r>
            <w:proofErr w:type="spellEnd"/>
            <w:r w:rsidRPr="00680951">
              <w:rPr>
                <w:b/>
              </w:rPr>
              <w:t xml:space="preserve"> în care </w:t>
            </w:r>
            <w:r w:rsidR="004220BD" w:rsidRPr="00680951">
              <w:rPr>
                <w:b/>
              </w:rPr>
              <w:t>prezentul</w:t>
            </w:r>
            <w:r w:rsidRPr="00680951">
              <w:rPr>
                <w:b/>
              </w:rPr>
              <w:t xml:space="preserve"> act normativ are ca obiect </w:t>
            </w:r>
            <w:proofErr w:type="spellStart"/>
            <w:r w:rsidRPr="00680951">
              <w:rPr>
                <w:b/>
              </w:rPr>
              <w:t>activităţi</w:t>
            </w:r>
            <w:proofErr w:type="spellEnd"/>
            <w:r w:rsidRPr="00680951">
              <w:rPr>
                <w:b/>
              </w:rPr>
              <w:t xml:space="preserve"> ale acestor </w:t>
            </w:r>
            <w:proofErr w:type="spellStart"/>
            <w:r w:rsidRPr="00680951">
              <w:rPr>
                <w:b/>
              </w:rPr>
              <w:t>autorităţi</w:t>
            </w:r>
            <w:proofErr w:type="spellEnd"/>
            <w:r w:rsidRPr="00680951">
              <w:rPr>
                <w:b/>
              </w:rPr>
              <w:t xml:space="preserve">, în </w:t>
            </w:r>
            <w:proofErr w:type="spellStart"/>
            <w:r w:rsidRPr="00680951">
              <w:rPr>
                <w:b/>
              </w:rPr>
              <w:t>condiţiile</w:t>
            </w:r>
            <w:proofErr w:type="spellEnd"/>
            <w:r w:rsidRPr="00680951">
              <w:rPr>
                <w:b/>
              </w:rPr>
              <w:t xml:space="preserve"> Hotărârii Guvernului nr.</w:t>
            </w:r>
            <w:r w:rsidR="00985DC1" w:rsidRPr="00680951">
              <w:rPr>
                <w:b/>
              </w:rPr>
              <w:t xml:space="preserve"> </w:t>
            </w:r>
            <w:r w:rsidRPr="00680951">
              <w:rPr>
                <w:b/>
              </w:rPr>
              <w:t xml:space="preserve">521/2005 </w:t>
            </w:r>
            <w:r w:rsidRPr="00680951">
              <w:rPr>
                <w:b/>
                <w:bCs/>
              </w:rPr>
              <w:t xml:space="preserve">privind procedura de consultare a structurilor asociative ale </w:t>
            </w:r>
            <w:proofErr w:type="spellStart"/>
            <w:r w:rsidRPr="00680951">
              <w:rPr>
                <w:b/>
                <w:bCs/>
              </w:rPr>
              <w:t>autorităţilor</w:t>
            </w:r>
            <w:proofErr w:type="spellEnd"/>
            <w:r w:rsidRPr="00680951">
              <w:rPr>
                <w:b/>
                <w:bCs/>
              </w:rPr>
              <w:t xml:space="preserve"> </w:t>
            </w:r>
            <w:proofErr w:type="spellStart"/>
            <w:r w:rsidRPr="00680951">
              <w:rPr>
                <w:b/>
                <w:bCs/>
              </w:rPr>
              <w:t>administraţiei</w:t>
            </w:r>
            <w:proofErr w:type="spellEnd"/>
            <w:r w:rsidRPr="00680951">
              <w:rPr>
                <w:b/>
                <w:bCs/>
              </w:rPr>
              <w:t xml:space="preserve"> publice locale la elaborarea proiectelor de acte normative.</w:t>
            </w:r>
          </w:p>
          <w:p w:rsidR="008D2821" w:rsidRPr="00680951" w:rsidRDefault="008D2821" w:rsidP="00680951">
            <w:pPr>
              <w:jc w:val="both"/>
              <w:rPr>
                <w:bCs/>
              </w:rPr>
            </w:pPr>
            <w:r w:rsidRPr="00D57019">
              <w:rPr>
                <w:bCs/>
              </w:rPr>
              <w:lastRenderedPageBreak/>
              <w:t xml:space="preserve">Au avut loc consultări cu </w:t>
            </w:r>
            <w:proofErr w:type="spellStart"/>
            <w:r w:rsidRPr="00D57019">
              <w:rPr>
                <w:bCs/>
              </w:rPr>
              <w:t>autorităţile</w:t>
            </w:r>
            <w:proofErr w:type="spellEnd"/>
            <w:r w:rsidRPr="00D57019">
              <w:rPr>
                <w:bCs/>
              </w:rPr>
              <w:t xml:space="preserve"> </w:t>
            </w:r>
            <w:proofErr w:type="spellStart"/>
            <w:r w:rsidRPr="00D57019">
              <w:rPr>
                <w:bCs/>
              </w:rPr>
              <w:t>administraţiei</w:t>
            </w:r>
            <w:proofErr w:type="spellEnd"/>
            <w:r w:rsidRPr="00D57019">
              <w:rPr>
                <w:bCs/>
              </w:rPr>
              <w:t xml:space="preserve"> publice locale în vederea stabilirii nevoilor de servicii sociale în teritoriu.</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lastRenderedPageBreak/>
              <w:t xml:space="preserve">4. Consultările </w:t>
            </w:r>
            <w:proofErr w:type="spellStart"/>
            <w:r w:rsidRPr="00680951">
              <w:rPr>
                <w:b/>
              </w:rPr>
              <w:t>desfăşurate</w:t>
            </w:r>
            <w:proofErr w:type="spellEnd"/>
            <w:r w:rsidRPr="00680951">
              <w:rPr>
                <w:b/>
              </w:rPr>
              <w:t xml:space="preserve"> în cadrul consiliilor interministeriale în conformitate cu prevederile Hotărârii Guvernului nr. 750/2005 privind constituirea consiliilor interministeriale permanente</w:t>
            </w:r>
          </w:p>
          <w:p w:rsidR="00D57623" w:rsidRPr="00680951" w:rsidRDefault="001E61DB" w:rsidP="001E61DB">
            <w:pPr>
              <w:spacing w:line="276" w:lineRule="auto"/>
              <w:jc w:val="both"/>
            </w:pPr>
            <w:r>
              <w:t>Proiectul de  act</w:t>
            </w:r>
            <w:r w:rsidR="00B9781B" w:rsidRPr="00680951">
              <w:t xml:space="preserve"> normativ nu se referă la acest subiect</w:t>
            </w:r>
            <w:r w:rsidR="006A10DD" w:rsidRPr="00680951">
              <w:t>.</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autoSpaceDE w:val="0"/>
              <w:autoSpaceDN w:val="0"/>
              <w:adjustRightInd w:val="0"/>
              <w:spacing w:line="276" w:lineRule="auto"/>
              <w:jc w:val="both"/>
              <w:rPr>
                <w:b/>
              </w:rPr>
            </w:pPr>
            <w:r w:rsidRPr="00680951">
              <w:rPr>
                <w:b/>
              </w:rPr>
              <w:t>5.</w:t>
            </w:r>
            <w:r w:rsidRPr="00680951">
              <w:rPr>
                <w:b/>
                <w:bCs/>
              </w:rPr>
              <w:t xml:space="preserve"> </w:t>
            </w:r>
            <w:proofErr w:type="spellStart"/>
            <w:r w:rsidRPr="00680951">
              <w:rPr>
                <w:b/>
                <w:bCs/>
              </w:rPr>
              <w:t>Informaţii</w:t>
            </w:r>
            <w:proofErr w:type="spellEnd"/>
            <w:r w:rsidRPr="00680951">
              <w:rPr>
                <w:b/>
                <w:bCs/>
              </w:rPr>
              <w:t xml:space="preserve"> privind avizarea de către</w:t>
            </w:r>
            <w:r w:rsidRPr="00680951">
              <w:rPr>
                <w:b/>
              </w:rPr>
              <w:t>:</w:t>
            </w:r>
          </w:p>
          <w:p w:rsidR="00B9781B" w:rsidRPr="00680951" w:rsidRDefault="00B9781B" w:rsidP="00680951">
            <w:pPr>
              <w:tabs>
                <w:tab w:val="left" w:pos="6195"/>
              </w:tabs>
              <w:autoSpaceDE w:val="0"/>
              <w:autoSpaceDN w:val="0"/>
              <w:adjustRightInd w:val="0"/>
              <w:spacing w:line="276" w:lineRule="auto"/>
              <w:jc w:val="both"/>
            </w:pPr>
            <w:r w:rsidRPr="00680951">
              <w:t>a) Consiliul Legislativ</w:t>
            </w:r>
            <w:r w:rsidRPr="00680951">
              <w:tab/>
            </w:r>
          </w:p>
          <w:p w:rsidR="00B9781B" w:rsidRPr="00680951" w:rsidRDefault="00B9781B" w:rsidP="00680951">
            <w:pPr>
              <w:autoSpaceDE w:val="0"/>
              <w:autoSpaceDN w:val="0"/>
              <w:adjustRightInd w:val="0"/>
              <w:spacing w:line="276" w:lineRule="auto"/>
              <w:jc w:val="both"/>
            </w:pPr>
            <w:r w:rsidRPr="00680951">
              <w:t xml:space="preserve">b) Consiliul Suprem de Apărare a </w:t>
            </w:r>
            <w:proofErr w:type="spellStart"/>
            <w:r w:rsidRPr="00680951">
              <w:t>Ţării</w:t>
            </w:r>
            <w:proofErr w:type="spellEnd"/>
          </w:p>
          <w:p w:rsidR="00B9781B" w:rsidRPr="00680951" w:rsidRDefault="009F1312" w:rsidP="00680951">
            <w:pPr>
              <w:autoSpaceDE w:val="0"/>
              <w:autoSpaceDN w:val="0"/>
              <w:adjustRightInd w:val="0"/>
              <w:spacing w:line="276" w:lineRule="auto"/>
              <w:jc w:val="both"/>
            </w:pPr>
            <w:r w:rsidRPr="00680951">
              <w:t xml:space="preserve">c) Consiliul Economic </w:t>
            </w:r>
            <w:proofErr w:type="spellStart"/>
            <w:r w:rsidRPr="00680951">
              <w:t>şi</w:t>
            </w:r>
            <w:proofErr w:type="spellEnd"/>
            <w:r w:rsidRPr="00680951">
              <w:t xml:space="preserve"> Social</w:t>
            </w:r>
          </w:p>
          <w:p w:rsidR="00B9781B" w:rsidRPr="00680951" w:rsidRDefault="00B9781B" w:rsidP="00680951">
            <w:pPr>
              <w:autoSpaceDE w:val="0"/>
              <w:autoSpaceDN w:val="0"/>
              <w:adjustRightInd w:val="0"/>
              <w:spacing w:line="276" w:lineRule="auto"/>
              <w:jc w:val="both"/>
            </w:pPr>
            <w:r w:rsidRPr="00680951">
              <w:t xml:space="preserve">d) Consiliul </w:t>
            </w:r>
            <w:proofErr w:type="spellStart"/>
            <w:r w:rsidRPr="00680951">
              <w:t>Concurenţei</w:t>
            </w:r>
            <w:proofErr w:type="spellEnd"/>
            <w:r w:rsidRPr="00680951">
              <w:t xml:space="preserve"> </w:t>
            </w:r>
          </w:p>
          <w:p w:rsidR="00455530" w:rsidRPr="00680951" w:rsidRDefault="00B9781B" w:rsidP="00680951">
            <w:pPr>
              <w:spacing w:line="276" w:lineRule="auto"/>
              <w:jc w:val="both"/>
            </w:pPr>
            <w:r w:rsidRPr="00680951">
              <w:t>e) Curtea de Conturi</w:t>
            </w:r>
          </w:p>
          <w:p w:rsidR="00D57623" w:rsidRPr="00680951" w:rsidRDefault="00AB182A" w:rsidP="00680951">
            <w:pPr>
              <w:tabs>
                <w:tab w:val="left" w:pos="3960"/>
              </w:tabs>
              <w:spacing w:line="276" w:lineRule="auto"/>
              <w:jc w:val="both"/>
              <w:rPr>
                <w:rFonts w:eastAsia="Calibri"/>
              </w:rPr>
            </w:pPr>
            <w:r w:rsidRPr="00680951">
              <w:rPr>
                <w:rFonts w:eastAsia="Calibri"/>
              </w:rPr>
              <w:t>Proiectul de act normativ va fi suspus avizării Consiliului Legislativ și Consiliul Economic și Social.</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D57623" w:rsidRPr="00680951" w:rsidRDefault="00783970" w:rsidP="00680951">
            <w:pPr>
              <w:spacing w:line="276" w:lineRule="auto"/>
              <w:jc w:val="both"/>
            </w:pPr>
            <w:r w:rsidRPr="00680951">
              <w:rPr>
                <w:b/>
              </w:rPr>
              <w:t>6. A</w:t>
            </w:r>
            <w:r w:rsidR="00B9781B" w:rsidRPr="00680951">
              <w:rPr>
                <w:b/>
              </w:rPr>
              <w:t xml:space="preserve">lte </w:t>
            </w:r>
            <w:proofErr w:type="spellStart"/>
            <w:r w:rsidR="00B9781B" w:rsidRPr="00680951">
              <w:rPr>
                <w:b/>
              </w:rPr>
              <w:t>informaţii</w:t>
            </w:r>
            <w:proofErr w:type="spellEnd"/>
          </w:p>
          <w:p w:rsidR="008D2821" w:rsidRPr="00680951" w:rsidRDefault="008D2821" w:rsidP="00680951">
            <w:pPr>
              <w:spacing w:line="276" w:lineRule="auto"/>
              <w:ind w:left="180"/>
              <w:jc w:val="both"/>
            </w:pPr>
            <w:r w:rsidRPr="00D57019">
              <w:t>Nu este cazul.</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rPr>
                <w:b/>
              </w:rPr>
            </w:pPr>
            <w:proofErr w:type="spellStart"/>
            <w:r w:rsidRPr="00680951">
              <w:rPr>
                <w:b/>
              </w:rPr>
              <w:t>Secţiunea</w:t>
            </w:r>
            <w:proofErr w:type="spellEnd"/>
            <w:r w:rsidRPr="00680951">
              <w:rPr>
                <w:b/>
              </w:rPr>
              <w:t xml:space="preserve"> a 7-a</w:t>
            </w:r>
          </w:p>
          <w:p w:rsidR="00B9781B" w:rsidRPr="00680951" w:rsidRDefault="00B9781B" w:rsidP="00680951">
            <w:pPr>
              <w:spacing w:line="276" w:lineRule="auto"/>
              <w:jc w:val="center"/>
              <w:rPr>
                <w:b/>
              </w:rPr>
            </w:pPr>
            <w:proofErr w:type="spellStart"/>
            <w:r w:rsidRPr="00680951">
              <w:rPr>
                <w:b/>
              </w:rPr>
              <w:t>Activităţi</w:t>
            </w:r>
            <w:proofErr w:type="spellEnd"/>
            <w:r w:rsidRPr="00680951">
              <w:rPr>
                <w:b/>
              </w:rPr>
              <w:t xml:space="preserve"> de infor</w:t>
            </w:r>
            <w:r w:rsidR="00965C0C" w:rsidRPr="00680951">
              <w:rPr>
                <w:b/>
              </w:rPr>
              <w:t>mare publică privind elaborarea</w:t>
            </w:r>
          </w:p>
          <w:p w:rsidR="0011029F" w:rsidRPr="00680951" w:rsidRDefault="00B9781B">
            <w:pPr>
              <w:spacing w:line="276" w:lineRule="auto"/>
              <w:jc w:val="center"/>
              <w:rPr>
                <w:b/>
              </w:rPr>
            </w:pPr>
            <w:proofErr w:type="spellStart"/>
            <w:r w:rsidRPr="00680951">
              <w:rPr>
                <w:b/>
              </w:rPr>
              <w:t>şi</w:t>
            </w:r>
            <w:proofErr w:type="spellEnd"/>
            <w:r w:rsidRPr="00680951">
              <w:rPr>
                <w:b/>
              </w:rPr>
              <w:t xml:space="preserve"> implementarea </w:t>
            </w:r>
            <w:r w:rsidR="00F05D38" w:rsidRPr="00680951">
              <w:rPr>
                <w:b/>
              </w:rPr>
              <w:t>prezentului</w:t>
            </w:r>
            <w:r w:rsidRPr="00680951">
              <w:rPr>
                <w:b/>
              </w:rPr>
              <w:t xml:space="preserve"> act normativ</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t xml:space="preserve">1. Informarea </w:t>
            </w:r>
            <w:proofErr w:type="spellStart"/>
            <w:r w:rsidRPr="00680951">
              <w:rPr>
                <w:b/>
              </w:rPr>
              <w:t>societăţii</w:t>
            </w:r>
            <w:proofErr w:type="spellEnd"/>
            <w:r w:rsidRPr="00680951">
              <w:rPr>
                <w:b/>
              </w:rPr>
              <w:t xml:space="preserve"> civile cu privire la necesitatea elaborării </w:t>
            </w:r>
            <w:r w:rsidR="00537E2B" w:rsidRPr="00680951">
              <w:rPr>
                <w:b/>
              </w:rPr>
              <w:t>prezentului</w:t>
            </w:r>
            <w:r w:rsidRPr="00680951">
              <w:rPr>
                <w:b/>
              </w:rPr>
              <w:t xml:space="preserve"> act normativ</w:t>
            </w:r>
          </w:p>
          <w:p w:rsidR="001E61DB" w:rsidRDefault="001E61DB" w:rsidP="001E61DB">
            <w:pPr>
              <w:jc w:val="both"/>
            </w:pPr>
            <w:r>
              <w:t xml:space="preserve"> Proiectul de act normativ a fost elaborat cu aplicarea prevederilor Legii nr.52/2003 privind </w:t>
            </w:r>
            <w:proofErr w:type="spellStart"/>
            <w:r>
              <w:t>transparenţa</w:t>
            </w:r>
            <w:proofErr w:type="spellEnd"/>
            <w:r>
              <w:t xml:space="preserve"> decizională în </w:t>
            </w:r>
            <w:proofErr w:type="spellStart"/>
            <w:r>
              <w:t>administraţia</w:t>
            </w:r>
            <w:proofErr w:type="spellEnd"/>
            <w:r>
              <w:t xml:space="preserve"> publică, republicată.</w:t>
            </w:r>
          </w:p>
          <w:p w:rsidR="001E61DB" w:rsidRDefault="001E61DB" w:rsidP="001E61DB">
            <w:pPr>
              <w:jc w:val="both"/>
            </w:pPr>
            <w:r>
              <w:t>Prezentul proiect de act normativ a fost supus comentariilor publicului, prin publicarea pe pagina de internet a Ministerului Muncii și Protecției Sociale, în perioada</w:t>
            </w:r>
            <w:r w:rsidR="00E30232">
              <w:t>…………..</w:t>
            </w:r>
            <w:r>
              <w:t>.</w:t>
            </w:r>
          </w:p>
          <w:p w:rsidR="0011029F" w:rsidRPr="00680951" w:rsidRDefault="001E61DB" w:rsidP="001E61DB">
            <w:pPr>
              <w:jc w:val="both"/>
            </w:pPr>
            <w:r>
              <w:t xml:space="preserve">Au fost întreprinse demersurile legale prevăzute de art. 7 din Regulamentul privind procedurile, la nivelul Guvernului, pentru elaborarea, avizarea </w:t>
            </w:r>
            <w:proofErr w:type="spellStart"/>
            <w:r>
              <w:t>şi</w:t>
            </w:r>
            <w:proofErr w:type="spellEnd"/>
            <w:r>
              <w:t xml:space="preserve"> prezentarea proiectelor de documente de politici publice, a proiectelor de acte normative, precum </w:t>
            </w:r>
            <w:proofErr w:type="spellStart"/>
            <w:r>
              <w:t>şi</w:t>
            </w:r>
            <w:proofErr w:type="spellEnd"/>
            <w:r>
              <w:t xml:space="preserve"> a altor documente, în vederea adoptării/aprobării, aprobat prin Hotărârea Guvernului nr. 561/2009.</w:t>
            </w:r>
            <w:r w:rsidR="001F76BE">
              <w:t xml:space="preserve"> </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C5091F">
            <w:pPr>
              <w:jc w:val="both"/>
              <w:rPr>
                <w:b/>
              </w:rPr>
            </w:pPr>
            <w:r w:rsidRPr="00680951">
              <w:rPr>
                <w:b/>
              </w:rPr>
              <w:t xml:space="preserve">2. Informarea </w:t>
            </w:r>
            <w:proofErr w:type="spellStart"/>
            <w:r w:rsidRPr="00680951">
              <w:rPr>
                <w:b/>
              </w:rPr>
              <w:t>societăţii</w:t>
            </w:r>
            <w:proofErr w:type="spellEnd"/>
            <w:r w:rsidRPr="00680951">
              <w:rPr>
                <w:b/>
              </w:rPr>
              <w:t xml:space="preserve"> civile cu privire la eventualul impact asupra mediului în urma implementării </w:t>
            </w:r>
            <w:r w:rsidR="00537E2B" w:rsidRPr="00680951">
              <w:rPr>
                <w:b/>
              </w:rPr>
              <w:t>prezentului</w:t>
            </w:r>
            <w:r w:rsidRPr="00680951">
              <w:rPr>
                <w:b/>
              </w:rPr>
              <w:t xml:space="preserve"> act normativ, precum </w:t>
            </w:r>
            <w:proofErr w:type="spellStart"/>
            <w:r w:rsidRPr="00680951">
              <w:rPr>
                <w:b/>
              </w:rPr>
              <w:t>şi</w:t>
            </w:r>
            <w:proofErr w:type="spellEnd"/>
            <w:r w:rsidRPr="00680951">
              <w:rPr>
                <w:b/>
              </w:rPr>
              <w:t xml:space="preserve"> efectele asupra </w:t>
            </w:r>
            <w:proofErr w:type="spellStart"/>
            <w:r w:rsidRPr="00680951">
              <w:rPr>
                <w:b/>
              </w:rPr>
              <w:t>sănătăţii</w:t>
            </w:r>
            <w:proofErr w:type="spellEnd"/>
            <w:r w:rsidRPr="00680951">
              <w:rPr>
                <w:b/>
              </w:rPr>
              <w:t xml:space="preserve"> </w:t>
            </w:r>
            <w:proofErr w:type="spellStart"/>
            <w:r w:rsidRPr="00680951">
              <w:rPr>
                <w:b/>
              </w:rPr>
              <w:t>şi</w:t>
            </w:r>
            <w:proofErr w:type="spellEnd"/>
            <w:r w:rsidRPr="00680951">
              <w:rPr>
                <w:b/>
              </w:rPr>
              <w:t xml:space="preserve"> </w:t>
            </w:r>
            <w:proofErr w:type="spellStart"/>
            <w:r w:rsidRPr="00680951">
              <w:rPr>
                <w:b/>
              </w:rPr>
              <w:t>securităţii</w:t>
            </w:r>
            <w:proofErr w:type="spellEnd"/>
            <w:r w:rsidRPr="00680951">
              <w:rPr>
                <w:b/>
              </w:rPr>
              <w:t xml:space="preserve"> </w:t>
            </w:r>
            <w:proofErr w:type="spellStart"/>
            <w:r w:rsidRPr="00680951">
              <w:rPr>
                <w:b/>
              </w:rPr>
              <w:t>cetăţen</w:t>
            </w:r>
            <w:r w:rsidR="00965C0C" w:rsidRPr="00680951">
              <w:rPr>
                <w:b/>
              </w:rPr>
              <w:t>ilor</w:t>
            </w:r>
            <w:proofErr w:type="spellEnd"/>
            <w:r w:rsidR="00965C0C" w:rsidRPr="00680951">
              <w:rPr>
                <w:b/>
              </w:rPr>
              <w:t xml:space="preserve"> sau </w:t>
            </w:r>
            <w:proofErr w:type="spellStart"/>
            <w:r w:rsidR="00965C0C" w:rsidRPr="00680951">
              <w:rPr>
                <w:b/>
              </w:rPr>
              <w:t>diversităţii</w:t>
            </w:r>
            <w:proofErr w:type="spellEnd"/>
            <w:r w:rsidR="00965C0C" w:rsidRPr="00680951">
              <w:rPr>
                <w:b/>
              </w:rPr>
              <w:t xml:space="preserve"> biologice</w:t>
            </w:r>
          </w:p>
          <w:p w:rsidR="0011029F" w:rsidRPr="00680951" w:rsidRDefault="00F05D38" w:rsidP="00C5091F">
            <w:pPr>
              <w:jc w:val="both"/>
            </w:pPr>
            <w:r w:rsidRPr="00680951">
              <w:t>Prezentul</w:t>
            </w:r>
            <w:r w:rsidR="00E3526A" w:rsidRPr="00680951">
              <w:t xml:space="preserve"> act normativ nu se referă</w:t>
            </w:r>
            <w:r w:rsidR="00B9781B" w:rsidRPr="00680951">
              <w:t xml:space="preserve"> la acest subiect.</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F05D38" w:rsidRPr="00680951" w:rsidRDefault="00783970" w:rsidP="00680951">
            <w:pPr>
              <w:spacing w:line="276" w:lineRule="auto"/>
              <w:jc w:val="both"/>
              <w:rPr>
                <w:b/>
              </w:rPr>
            </w:pPr>
            <w:r w:rsidRPr="00680951">
              <w:rPr>
                <w:b/>
              </w:rPr>
              <w:t xml:space="preserve">3. </w:t>
            </w:r>
            <w:r w:rsidR="00B9781B" w:rsidRPr="00680951">
              <w:rPr>
                <w:b/>
              </w:rPr>
              <w:t xml:space="preserve">Alte </w:t>
            </w:r>
            <w:proofErr w:type="spellStart"/>
            <w:r w:rsidR="00B9781B" w:rsidRPr="00680951">
              <w:rPr>
                <w:b/>
              </w:rPr>
              <w:t>informaţii</w:t>
            </w:r>
            <w:proofErr w:type="spellEnd"/>
          </w:p>
          <w:p w:rsidR="0011029F" w:rsidRPr="00680951" w:rsidRDefault="001277C8">
            <w:pPr>
              <w:spacing w:line="276" w:lineRule="auto"/>
              <w:ind w:left="180"/>
              <w:jc w:val="both"/>
            </w:pPr>
            <w:r w:rsidRPr="00680951">
              <w:t>Nu este cazul.</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pPr>
            <w:proofErr w:type="spellStart"/>
            <w:r w:rsidRPr="00680951">
              <w:rPr>
                <w:b/>
              </w:rPr>
              <w:t>Secţiunea</w:t>
            </w:r>
            <w:proofErr w:type="spellEnd"/>
            <w:r w:rsidRPr="00680951">
              <w:rPr>
                <w:b/>
              </w:rPr>
              <w:t xml:space="preserve"> a 8-a</w:t>
            </w:r>
          </w:p>
          <w:p w:rsidR="0011029F" w:rsidRPr="00680951" w:rsidRDefault="00B9781B">
            <w:pPr>
              <w:spacing w:line="276" w:lineRule="auto"/>
              <w:jc w:val="center"/>
              <w:rPr>
                <w:b/>
                <w:bCs/>
              </w:rPr>
            </w:pPr>
            <w:r w:rsidRPr="00680951">
              <w:rPr>
                <w:b/>
                <w:bCs/>
              </w:rPr>
              <w:t>Măsuri de implementare</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t xml:space="preserve">1. Măsurile de punere în aplicare a </w:t>
            </w:r>
            <w:r w:rsidR="004220BD" w:rsidRPr="00680951">
              <w:rPr>
                <w:b/>
              </w:rPr>
              <w:t>prezentului</w:t>
            </w:r>
            <w:r w:rsidRPr="00680951">
              <w:rPr>
                <w:b/>
              </w:rPr>
              <w:t xml:space="preserve"> act normativ de către </w:t>
            </w:r>
            <w:proofErr w:type="spellStart"/>
            <w:r w:rsidRPr="00680951">
              <w:rPr>
                <w:b/>
              </w:rPr>
              <w:t>autorităţile</w:t>
            </w:r>
            <w:proofErr w:type="spellEnd"/>
            <w:r w:rsidRPr="00680951">
              <w:rPr>
                <w:b/>
              </w:rPr>
              <w:t xml:space="preserve"> </w:t>
            </w:r>
            <w:proofErr w:type="spellStart"/>
            <w:r w:rsidRPr="00680951">
              <w:rPr>
                <w:b/>
              </w:rPr>
              <w:t>administraţiei</w:t>
            </w:r>
            <w:proofErr w:type="spellEnd"/>
            <w:r w:rsidRPr="00680951">
              <w:rPr>
                <w:b/>
              </w:rPr>
              <w:t xml:space="preserve"> publice centrale </w:t>
            </w:r>
            <w:proofErr w:type="spellStart"/>
            <w:r w:rsidRPr="00680951">
              <w:rPr>
                <w:b/>
              </w:rPr>
              <w:t>şi</w:t>
            </w:r>
            <w:proofErr w:type="spellEnd"/>
            <w:r w:rsidRPr="00680951">
              <w:rPr>
                <w:b/>
              </w:rPr>
              <w:t xml:space="preserve">/sau locale </w:t>
            </w:r>
            <w:r w:rsidR="00B2425D" w:rsidRPr="00680951">
              <w:rPr>
                <w:b/>
              </w:rPr>
              <w:t>–</w:t>
            </w:r>
            <w:r w:rsidRPr="00680951">
              <w:rPr>
                <w:b/>
              </w:rPr>
              <w:t xml:space="preserve"> </w:t>
            </w:r>
            <w:proofErr w:type="spellStart"/>
            <w:r w:rsidRPr="00680951">
              <w:rPr>
                <w:b/>
              </w:rPr>
              <w:t>înfiinţarea</w:t>
            </w:r>
            <w:proofErr w:type="spellEnd"/>
            <w:r w:rsidRPr="00680951">
              <w:rPr>
                <w:b/>
              </w:rPr>
              <w:t xml:space="preserve"> unor noi organisme sau  extinderea </w:t>
            </w:r>
            <w:proofErr w:type="spellStart"/>
            <w:r w:rsidRPr="00680951">
              <w:rPr>
                <w:b/>
              </w:rPr>
              <w:t>competenţelor</w:t>
            </w:r>
            <w:proofErr w:type="spellEnd"/>
            <w:r w:rsidRPr="00680951">
              <w:rPr>
                <w:b/>
              </w:rPr>
              <w:t xml:space="preserve"> </w:t>
            </w:r>
            <w:proofErr w:type="spellStart"/>
            <w:r w:rsidRPr="00680951">
              <w:rPr>
                <w:b/>
              </w:rPr>
              <w:t>instituţiilor</w:t>
            </w:r>
            <w:proofErr w:type="spellEnd"/>
            <w:r w:rsidRPr="00680951">
              <w:rPr>
                <w:b/>
              </w:rPr>
              <w:t xml:space="preserve"> existente</w:t>
            </w:r>
          </w:p>
          <w:p w:rsidR="0011029F" w:rsidRPr="00680951" w:rsidRDefault="00F05D38" w:rsidP="00680951">
            <w:pPr>
              <w:spacing w:line="276" w:lineRule="auto"/>
              <w:jc w:val="both"/>
            </w:pPr>
            <w:r w:rsidRPr="00680951">
              <w:t>Prezentul</w:t>
            </w:r>
            <w:r w:rsidR="00B9781B" w:rsidRPr="00680951">
              <w:t xml:space="preserve"> act normativ nu se </w:t>
            </w:r>
            <w:r w:rsidR="0011029F" w:rsidRPr="00680951">
              <w:t>refer</w:t>
            </w:r>
            <w:r w:rsidR="0011029F">
              <w:t>ă</w:t>
            </w:r>
            <w:r w:rsidR="0011029F" w:rsidRPr="00680951">
              <w:t xml:space="preserve"> </w:t>
            </w:r>
            <w:r w:rsidR="00B9781B" w:rsidRPr="00680951">
              <w:t>la acest subiect.</w:t>
            </w:r>
          </w:p>
        </w:tc>
      </w:tr>
      <w:tr w:rsidR="00B9781B" w:rsidRPr="00680951" w:rsidTr="00CA7710">
        <w:tc>
          <w:tcPr>
            <w:tcW w:w="10178" w:type="dxa"/>
            <w:gridSpan w:val="7"/>
            <w:tcBorders>
              <w:top w:val="single" w:sz="4" w:space="0" w:color="auto"/>
              <w:left w:val="single" w:sz="4" w:space="0" w:color="auto"/>
              <w:bottom w:val="single" w:sz="4" w:space="0" w:color="auto"/>
              <w:right w:val="single" w:sz="4" w:space="0" w:color="auto"/>
            </w:tcBorders>
          </w:tcPr>
          <w:p w:rsidR="00F05D38" w:rsidRPr="00680951" w:rsidRDefault="00783970" w:rsidP="00680951">
            <w:pPr>
              <w:spacing w:line="276" w:lineRule="auto"/>
              <w:jc w:val="both"/>
              <w:rPr>
                <w:b/>
              </w:rPr>
            </w:pPr>
            <w:r w:rsidRPr="00680951">
              <w:rPr>
                <w:b/>
              </w:rPr>
              <w:t xml:space="preserve">2. </w:t>
            </w:r>
            <w:r w:rsidR="00B9781B" w:rsidRPr="00680951">
              <w:rPr>
                <w:b/>
              </w:rPr>
              <w:t xml:space="preserve">Alte </w:t>
            </w:r>
            <w:proofErr w:type="spellStart"/>
            <w:r w:rsidR="00B9781B" w:rsidRPr="00680951">
              <w:rPr>
                <w:b/>
              </w:rPr>
              <w:t>informaţii</w:t>
            </w:r>
            <w:proofErr w:type="spellEnd"/>
          </w:p>
          <w:p w:rsidR="00827020" w:rsidRPr="00680951" w:rsidRDefault="001277C8">
            <w:pPr>
              <w:spacing w:line="276" w:lineRule="auto"/>
              <w:ind w:left="180"/>
              <w:jc w:val="both"/>
              <w:rPr>
                <w:b/>
              </w:rPr>
            </w:pPr>
            <w:r w:rsidRPr="00680951">
              <w:t>Nu este cazul.</w:t>
            </w:r>
          </w:p>
        </w:tc>
      </w:tr>
    </w:tbl>
    <w:p w:rsidR="004412AD" w:rsidRDefault="004412AD" w:rsidP="00680951">
      <w:pPr>
        <w:spacing w:line="276" w:lineRule="auto"/>
        <w:jc w:val="both"/>
      </w:pPr>
    </w:p>
    <w:p w:rsidR="006234E6" w:rsidRDefault="006234E6" w:rsidP="00680951">
      <w:pPr>
        <w:spacing w:line="276" w:lineRule="auto"/>
        <w:jc w:val="both"/>
      </w:pPr>
    </w:p>
    <w:p w:rsidR="006234E6" w:rsidRDefault="006234E6" w:rsidP="00680951">
      <w:pPr>
        <w:spacing w:line="276" w:lineRule="auto"/>
        <w:jc w:val="both"/>
      </w:pPr>
    </w:p>
    <w:p w:rsidR="006234E6" w:rsidRDefault="006234E6" w:rsidP="00680951">
      <w:pPr>
        <w:spacing w:line="276" w:lineRule="auto"/>
        <w:jc w:val="both"/>
      </w:pPr>
    </w:p>
    <w:p w:rsidR="006234E6" w:rsidRDefault="006234E6" w:rsidP="00680951">
      <w:pPr>
        <w:spacing w:line="276" w:lineRule="auto"/>
        <w:jc w:val="both"/>
      </w:pPr>
    </w:p>
    <w:p w:rsidR="006234E6" w:rsidRDefault="006234E6" w:rsidP="00680951">
      <w:pPr>
        <w:spacing w:line="276" w:lineRule="auto"/>
        <w:jc w:val="both"/>
      </w:pPr>
    </w:p>
    <w:p w:rsidR="006234E6" w:rsidRDefault="006234E6" w:rsidP="00680951">
      <w:pPr>
        <w:spacing w:line="276" w:lineRule="auto"/>
        <w:jc w:val="both"/>
      </w:pPr>
    </w:p>
    <w:p w:rsidR="00F83518" w:rsidRPr="00680951" w:rsidRDefault="00F05D38" w:rsidP="00680951">
      <w:pPr>
        <w:spacing w:line="276" w:lineRule="auto"/>
        <w:jc w:val="both"/>
      </w:pPr>
      <w:proofErr w:type="spellStart"/>
      <w:r w:rsidRPr="00680951">
        <w:lastRenderedPageBreak/>
        <w:t>F</w:t>
      </w:r>
      <w:r w:rsidR="00F83518" w:rsidRPr="00680951">
        <w:t>aţă</w:t>
      </w:r>
      <w:proofErr w:type="spellEnd"/>
      <w:r w:rsidR="00F83518" w:rsidRPr="00680951">
        <w:t xml:space="preserve"> de cele prezentate </w:t>
      </w:r>
      <w:r w:rsidR="00255359" w:rsidRPr="00680951">
        <w:t xml:space="preserve">a fost </w:t>
      </w:r>
      <w:r w:rsidR="00680951">
        <w:t>elaborat</w:t>
      </w:r>
      <w:r w:rsidR="00255359" w:rsidRPr="00680951">
        <w:t xml:space="preserve"> prezenta H</w:t>
      </w:r>
      <w:r w:rsidR="00F83518" w:rsidRPr="00680951">
        <w:t xml:space="preserve">otărâre a Guvernului </w:t>
      </w:r>
      <w:r w:rsidR="008D2821" w:rsidRPr="008D2821">
        <w:t xml:space="preserve">pentru </w:t>
      </w:r>
      <w:r w:rsidR="00EB78E5" w:rsidRPr="00EB78E5">
        <w:t>modificarea anexe</w:t>
      </w:r>
      <w:r w:rsidR="005444FC">
        <w:t>i</w:t>
      </w:r>
      <w:r w:rsidR="00EB78E5" w:rsidRPr="00EB78E5">
        <w:t xml:space="preserve"> la Hotărârea Guvernului nr. 798/2016 privind aprobarea programului de interes </w:t>
      </w:r>
      <w:proofErr w:type="spellStart"/>
      <w:r w:rsidR="00EB78E5" w:rsidRPr="00EB78E5">
        <w:t>naţional</w:t>
      </w:r>
      <w:proofErr w:type="spellEnd"/>
      <w:r w:rsidR="00EB78E5" w:rsidRPr="00EB78E5">
        <w:t xml:space="preserve"> în domeniul </w:t>
      </w:r>
      <w:proofErr w:type="spellStart"/>
      <w:r w:rsidR="00EB78E5" w:rsidRPr="00EB78E5">
        <w:t>protecţiei</w:t>
      </w:r>
      <w:proofErr w:type="spellEnd"/>
      <w:r w:rsidR="00EB78E5" w:rsidRPr="00EB78E5">
        <w:t xml:space="preserve"> </w:t>
      </w:r>
      <w:proofErr w:type="spellStart"/>
      <w:r w:rsidR="00EB78E5" w:rsidRPr="00EB78E5">
        <w:t>şi</w:t>
      </w:r>
      <w:proofErr w:type="spellEnd"/>
      <w:r w:rsidR="00EB78E5" w:rsidRPr="00EB78E5">
        <w:t xml:space="preserve"> promovării drepturilor persoanelor cu </w:t>
      </w:r>
      <w:proofErr w:type="spellStart"/>
      <w:r w:rsidR="00EB78E5" w:rsidRPr="00EB78E5">
        <w:t>dizabilităţi</w:t>
      </w:r>
      <w:proofErr w:type="spellEnd"/>
      <w:r w:rsidR="00EB78E5" w:rsidRPr="00EB78E5">
        <w:t xml:space="preserve"> "</w:t>
      </w:r>
      <w:proofErr w:type="spellStart"/>
      <w:r w:rsidR="00EB78E5" w:rsidRPr="00EB78E5">
        <w:t>Înfiinţarea</w:t>
      </w:r>
      <w:proofErr w:type="spellEnd"/>
      <w:r w:rsidR="00EB78E5" w:rsidRPr="00EB78E5">
        <w:t xml:space="preserve"> de servicii sociale de tip centre de zi, centre respiro/centre de criză </w:t>
      </w:r>
      <w:proofErr w:type="spellStart"/>
      <w:r w:rsidR="00EB78E5" w:rsidRPr="00EB78E5">
        <w:t>şi</w:t>
      </w:r>
      <w:proofErr w:type="spellEnd"/>
      <w:r w:rsidR="00EB78E5" w:rsidRPr="00EB78E5">
        <w:t xml:space="preserve"> </w:t>
      </w:r>
      <w:proofErr w:type="spellStart"/>
      <w:r w:rsidR="00EB78E5" w:rsidRPr="00EB78E5">
        <w:t>locuinţe</w:t>
      </w:r>
      <w:proofErr w:type="spellEnd"/>
      <w:r w:rsidR="00EB78E5" w:rsidRPr="00EB78E5">
        <w:t xml:space="preserve"> protejate în vederea </w:t>
      </w:r>
      <w:proofErr w:type="spellStart"/>
      <w:r w:rsidR="00EB78E5" w:rsidRPr="00EB78E5">
        <w:t>dezinstituţionalizării</w:t>
      </w:r>
      <w:proofErr w:type="spellEnd"/>
      <w:r w:rsidR="00EB78E5" w:rsidRPr="00EB78E5">
        <w:t xml:space="preserve"> persoanelor cu </w:t>
      </w:r>
      <w:proofErr w:type="spellStart"/>
      <w:r w:rsidR="00EB78E5" w:rsidRPr="00EB78E5">
        <w:t>dizabilităţi</w:t>
      </w:r>
      <w:proofErr w:type="spellEnd"/>
      <w:r w:rsidR="00EB78E5" w:rsidRPr="00EB78E5">
        <w:t xml:space="preserve"> aflate în </w:t>
      </w:r>
      <w:proofErr w:type="spellStart"/>
      <w:r w:rsidR="00EB78E5" w:rsidRPr="00EB78E5">
        <w:t>instituţii</w:t>
      </w:r>
      <w:proofErr w:type="spellEnd"/>
      <w:r w:rsidR="00EB78E5" w:rsidRPr="00EB78E5">
        <w:t xml:space="preserve"> de tip vechi </w:t>
      </w:r>
      <w:proofErr w:type="spellStart"/>
      <w:r w:rsidR="00EB78E5" w:rsidRPr="00EB78E5">
        <w:t>şi</w:t>
      </w:r>
      <w:proofErr w:type="spellEnd"/>
      <w:r w:rsidR="00EB78E5" w:rsidRPr="00EB78E5">
        <w:t xml:space="preserve"> pentru prevenirea </w:t>
      </w:r>
      <w:proofErr w:type="spellStart"/>
      <w:r w:rsidR="00EB78E5" w:rsidRPr="00EB78E5">
        <w:t>instituţionalizării</w:t>
      </w:r>
      <w:proofErr w:type="spellEnd"/>
      <w:r w:rsidR="00EB78E5" w:rsidRPr="00EB78E5">
        <w:t xml:space="preserve"> persoanelor cu </w:t>
      </w:r>
      <w:proofErr w:type="spellStart"/>
      <w:r w:rsidR="00EB78E5" w:rsidRPr="00EB78E5">
        <w:t>dizabilităţi</w:t>
      </w:r>
      <w:proofErr w:type="spellEnd"/>
      <w:r w:rsidR="00EB78E5" w:rsidRPr="00EB78E5">
        <w:t xml:space="preserve"> din comunitate" și </w:t>
      </w:r>
      <w:r w:rsidR="005444FC">
        <w:t>a anexei la</w:t>
      </w:r>
      <w:r w:rsidR="005444FC" w:rsidRPr="00EB78E5">
        <w:t xml:space="preserve"> </w:t>
      </w:r>
      <w:r w:rsidR="00EB78E5" w:rsidRPr="00EB78E5">
        <w:t xml:space="preserve">Hotărârea Guvernului nr. 193/2018 privind aprobarea programului de interes </w:t>
      </w:r>
      <w:proofErr w:type="spellStart"/>
      <w:r w:rsidR="00EB78E5" w:rsidRPr="00EB78E5">
        <w:t>naţional</w:t>
      </w:r>
      <w:proofErr w:type="spellEnd"/>
      <w:r w:rsidR="00EB78E5" w:rsidRPr="00EB78E5">
        <w:t xml:space="preserve"> în domeniul </w:t>
      </w:r>
      <w:proofErr w:type="spellStart"/>
      <w:r w:rsidR="00EB78E5" w:rsidRPr="00EB78E5">
        <w:t>protecţiei</w:t>
      </w:r>
      <w:proofErr w:type="spellEnd"/>
      <w:r w:rsidR="00EB78E5" w:rsidRPr="00EB78E5">
        <w:t xml:space="preserve"> </w:t>
      </w:r>
      <w:proofErr w:type="spellStart"/>
      <w:r w:rsidR="00EB78E5" w:rsidRPr="00EB78E5">
        <w:t>şi</w:t>
      </w:r>
      <w:proofErr w:type="spellEnd"/>
      <w:r w:rsidR="00EB78E5" w:rsidRPr="00EB78E5">
        <w:t xml:space="preserve"> promovării drepturilor persoanelor cu </w:t>
      </w:r>
      <w:proofErr w:type="spellStart"/>
      <w:r w:rsidR="00EB78E5" w:rsidRPr="00EB78E5">
        <w:t>dizabilităţi</w:t>
      </w:r>
      <w:proofErr w:type="spellEnd"/>
      <w:r w:rsidR="00EB78E5" w:rsidRPr="00EB78E5">
        <w:t xml:space="preserve"> "</w:t>
      </w:r>
      <w:proofErr w:type="spellStart"/>
      <w:r w:rsidR="00EB78E5" w:rsidRPr="00EB78E5">
        <w:t>Înfiinţarea</w:t>
      </w:r>
      <w:proofErr w:type="spellEnd"/>
      <w:r w:rsidR="00EB78E5" w:rsidRPr="00EB78E5">
        <w:t xml:space="preserve"> de servicii sociale în vederea asigurării </w:t>
      </w:r>
      <w:proofErr w:type="spellStart"/>
      <w:r w:rsidR="00EB78E5" w:rsidRPr="00EB78E5">
        <w:t>tranziţiei</w:t>
      </w:r>
      <w:proofErr w:type="spellEnd"/>
      <w:r w:rsidR="00EB78E5" w:rsidRPr="00EB78E5">
        <w:t xml:space="preserve"> tinerilor cu </w:t>
      </w:r>
      <w:proofErr w:type="spellStart"/>
      <w:r w:rsidR="00EB78E5" w:rsidRPr="00EB78E5">
        <w:t>dizabilităţi</w:t>
      </w:r>
      <w:proofErr w:type="spellEnd"/>
      <w:r w:rsidR="00EB78E5" w:rsidRPr="00EB78E5">
        <w:t xml:space="preserve"> de la sistemul de </w:t>
      </w:r>
      <w:proofErr w:type="spellStart"/>
      <w:r w:rsidR="00EB78E5" w:rsidRPr="00EB78E5">
        <w:t>protecţie</w:t>
      </w:r>
      <w:proofErr w:type="spellEnd"/>
      <w:r w:rsidR="00EB78E5" w:rsidRPr="00EB78E5">
        <w:t xml:space="preserve"> specială a copilului către sistemul de </w:t>
      </w:r>
      <w:proofErr w:type="spellStart"/>
      <w:r w:rsidR="00EB78E5" w:rsidRPr="00EB78E5">
        <w:t>protecţie</w:t>
      </w:r>
      <w:proofErr w:type="spellEnd"/>
      <w:r w:rsidR="00EB78E5" w:rsidRPr="00EB78E5">
        <w:t xml:space="preserve"> a persoanelor adulte cu </w:t>
      </w:r>
      <w:proofErr w:type="spellStart"/>
      <w:r w:rsidR="00EB78E5" w:rsidRPr="00EB78E5">
        <w:t>dizabilităţi</w:t>
      </w:r>
      <w:proofErr w:type="spellEnd"/>
      <w:r w:rsidR="00EB78E5" w:rsidRPr="00EB78E5">
        <w:t>"</w:t>
      </w:r>
      <w:r w:rsidR="00680951">
        <w:rPr>
          <w:bCs/>
        </w:rPr>
        <w:t>, pe care o supunem spre aprobare Guvernului.</w:t>
      </w:r>
    </w:p>
    <w:p w:rsidR="003D3EDE" w:rsidRDefault="003D3EDE" w:rsidP="00680951">
      <w:pPr>
        <w:spacing w:line="276" w:lineRule="auto"/>
        <w:ind w:firstLine="720"/>
        <w:jc w:val="both"/>
      </w:pPr>
    </w:p>
    <w:p w:rsidR="006234E6" w:rsidRPr="00680951" w:rsidRDefault="006234E6" w:rsidP="00680951">
      <w:pPr>
        <w:spacing w:line="276" w:lineRule="auto"/>
        <w:ind w:firstLine="720"/>
        <w:jc w:val="both"/>
      </w:pPr>
    </w:p>
    <w:p w:rsidR="003D3EDE" w:rsidRPr="00680951" w:rsidRDefault="003D3EDE" w:rsidP="00680951">
      <w:pPr>
        <w:spacing w:line="276" w:lineRule="auto"/>
        <w:jc w:val="both"/>
      </w:pPr>
    </w:p>
    <w:p w:rsidR="003D3EDE" w:rsidRPr="004E4C95" w:rsidRDefault="003D3EDE" w:rsidP="00680951">
      <w:pPr>
        <w:spacing w:line="276" w:lineRule="auto"/>
        <w:jc w:val="center"/>
        <w:rPr>
          <w:b/>
        </w:rPr>
      </w:pPr>
      <w:r w:rsidRPr="004E4C95">
        <w:rPr>
          <w:b/>
        </w:rPr>
        <w:t xml:space="preserve">MINISTRUL MUNCII ȘI </w:t>
      </w:r>
      <w:r w:rsidR="00D64C0A">
        <w:rPr>
          <w:b/>
        </w:rPr>
        <w:t>PROTECȚIEI</w:t>
      </w:r>
      <w:r w:rsidRPr="004E4C95">
        <w:rPr>
          <w:b/>
        </w:rPr>
        <w:t xml:space="preserve"> SOCIALE,</w:t>
      </w:r>
    </w:p>
    <w:p w:rsidR="003D3EDE" w:rsidRPr="004E4C95" w:rsidRDefault="003D3EDE" w:rsidP="00680951">
      <w:pPr>
        <w:spacing w:line="276" w:lineRule="auto"/>
        <w:jc w:val="center"/>
        <w:rPr>
          <w:b/>
        </w:rPr>
      </w:pPr>
    </w:p>
    <w:p w:rsidR="003D3EDE" w:rsidRDefault="00125934" w:rsidP="00680951">
      <w:pPr>
        <w:spacing w:line="276" w:lineRule="auto"/>
        <w:jc w:val="center"/>
        <w:rPr>
          <w:b/>
        </w:rPr>
      </w:pPr>
      <w:r w:rsidRPr="00125934">
        <w:rPr>
          <w:b/>
        </w:rPr>
        <w:t>VICTORIA VIOLETA ALEXANDRU</w:t>
      </w:r>
    </w:p>
    <w:p w:rsidR="006234E6" w:rsidRDefault="006234E6" w:rsidP="00680951">
      <w:pPr>
        <w:spacing w:line="276" w:lineRule="auto"/>
        <w:jc w:val="center"/>
        <w:rPr>
          <w:b/>
        </w:rPr>
      </w:pPr>
    </w:p>
    <w:p w:rsidR="006234E6" w:rsidRPr="004E4C95" w:rsidRDefault="006234E6" w:rsidP="00680951">
      <w:pPr>
        <w:spacing w:line="276" w:lineRule="auto"/>
        <w:jc w:val="center"/>
        <w:rPr>
          <w:b/>
        </w:rPr>
      </w:pPr>
    </w:p>
    <w:p w:rsidR="003D3EDE" w:rsidRPr="004E4C95" w:rsidRDefault="003D3EDE" w:rsidP="00680951">
      <w:pPr>
        <w:spacing w:line="276" w:lineRule="auto"/>
        <w:ind w:right="135"/>
        <w:rPr>
          <w:b/>
        </w:rPr>
      </w:pPr>
    </w:p>
    <w:p w:rsidR="003D3EDE" w:rsidRPr="004E4C95" w:rsidRDefault="003D3EDE" w:rsidP="00680951">
      <w:pPr>
        <w:spacing w:line="276" w:lineRule="auto"/>
        <w:ind w:left="110" w:right="135"/>
        <w:jc w:val="center"/>
        <w:rPr>
          <w:b/>
          <w:u w:val="single"/>
        </w:rPr>
      </w:pPr>
      <w:r w:rsidRPr="004E4C95">
        <w:rPr>
          <w:b/>
        </w:rPr>
        <w:t xml:space="preserve"> </w:t>
      </w:r>
      <w:r w:rsidRPr="004E4C95">
        <w:rPr>
          <w:b/>
          <w:u w:val="single"/>
        </w:rPr>
        <w:t>Avizăm favorabil:</w:t>
      </w:r>
      <w:bookmarkStart w:id="1" w:name="_GoBack"/>
      <w:bookmarkEnd w:id="1"/>
    </w:p>
    <w:p w:rsidR="003D3EDE" w:rsidRPr="004E4C95" w:rsidRDefault="003D3EDE" w:rsidP="00680951">
      <w:pPr>
        <w:spacing w:line="276" w:lineRule="auto"/>
        <w:ind w:left="110" w:right="135"/>
        <w:jc w:val="center"/>
        <w:rPr>
          <w:b/>
          <w:u w:val="single"/>
        </w:rPr>
      </w:pPr>
    </w:p>
    <w:p w:rsidR="003D3EDE" w:rsidRPr="004E4C95" w:rsidRDefault="003D3EDE" w:rsidP="00680951">
      <w:pPr>
        <w:spacing w:line="276" w:lineRule="auto"/>
        <w:ind w:right="135"/>
        <w:rPr>
          <w:b/>
          <w:u w:val="single"/>
        </w:rPr>
      </w:pPr>
    </w:p>
    <w:p w:rsidR="001E61DB" w:rsidRPr="00D7655D" w:rsidRDefault="003267AE" w:rsidP="001E61DB">
      <w:pPr>
        <w:spacing w:line="276" w:lineRule="auto"/>
        <w:ind w:left="110" w:right="135"/>
        <w:jc w:val="center"/>
        <w:rPr>
          <w:b/>
        </w:rPr>
      </w:pPr>
      <w:r w:rsidRPr="00D7655D">
        <w:rPr>
          <w:b/>
        </w:rPr>
        <w:t>Viceprim – Ministru</w:t>
      </w:r>
    </w:p>
    <w:p w:rsidR="001E61DB" w:rsidRPr="00D7655D" w:rsidRDefault="001E61DB" w:rsidP="001E61DB">
      <w:pPr>
        <w:spacing w:line="276" w:lineRule="auto"/>
        <w:ind w:left="110" w:right="135"/>
        <w:jc w:val="center"/>
        <w:rPr>
          <w:b/>
        </w:rPr>
      </w:pPr>
    </w:p>
    <w:p w:rsidR="003D3EDE" w:rsidRPr="00D7655D" w:rsidRDefault="003267AE" w:rsidP="001E61DB">
      <w:pPr>
        <w:spacing w:line="276" w:lineRule="auto"/>
        <w:ind w:left="110" w:right="135"/>
        <w:jc w:val="center"/>
        <w:rPr>
          <w:b/>
        </w:rPr>
      </w:pPr>
      <w:r w:rsidRPr="00D7655D">
        <w:rPr>
          <w:b/>
        </w:rPr>
        <w:t>Raluca TURCAN</w:t>
      </w:r>
    </w:p>
    <w:p w:rsidR="006234E6" w:rsidRDefault="006234E6" w:rsidP="001E61DB">
      <w:pPr>
        <w:spacing w:line="276" w:lineRule="auto"/>
        <w:ind w:left="110" w:right="135"/>
        <w:jc w:val="center"/>
        <w:rPr>
          <w:b/>
          <w:color w:val="FF0000"/>
          <w:u w:val="single"/>
        </w:rPr>
      </w:pPr>
    </w:p>
    <w:p w:rsidR="006234E6" w:rsidRPr="00B343DA" w:rsidRDefault="006234E6" w:rsidP="001E61DB">
      <w:pPr>
        <w:spacing w:line="276" w:lineRule="auto"/>
        <w:ind w:left="110" w:right="135"/>
        <w:jc w:val="center"/>
        <w:rPr>
          <w:b/>
          <w:color w:val="FF0000"/>
          <w:u w:val="single"/>
        </w:rPr>
      </w:pPr>
    </w:p>
    <w:tbl>
      <w:tblPr>
        <w:tblW w:w="10063" w:type="dxa"/>
        <w:tblInd w:w="110" w:type="dxa"/>
        <w:tblLook w:val="04A0" w:firstRow="1" w:lastRow="0" w:firstColumn="1" w:lastColumn="0" w:noHBand="0" w:noVBand="1"/>
      </w:tblPr>
      <w:tblGrid>
        <w:gridCol w:w="5385"/>
        <w:gridCol w:w="4678"/>
      </w:tblGrid>
      <w:tr w:rsidR="003D3EDE" w:rsidRPr="004E4C95" w:rsidTr="00B02060">
        <w:tc>
          <w:tcPr>
            <w:tcW w:w="5385" w:type="dxa"/>
          </w:tcPr>
          <w:p w:rsidR="00125934" w:rsidRDefault="00125934" w:rsidP="004E4C95">
            <w:pPr>
              <w:spacing w:line="276" w:lineRule="auto"/>
              <w:ind w:right="135"/>
              <w:jc w:val="center"/>
              <w:rPr>
                <w:b/>
                <w:bCs/>
                <w:color w:val="000000"/>
              </w:rPr>
            </w:pPr>
          </w:p>
          <w:p w:rsidR="004E4C95" w:rsidRPr="004E4C95" w:rsidRDefault="00125934" w:rsidP="00125934">
            <w:pPr>
              <w:spacing w:line="276" w:lineRule="auto"/>
              <w:ind w:right="135"/>
              <w:jc w:val="center"/>
              <w:rPr>
                <w:b/>
                <w:bCs/>
                <w:color w:val="000000"/>
              </w:rPr>
            </w:pPr>
            <w:r w:rsidRPr="00125934">
              <w:rPr>
                <w:b/>
                <w:bCs/>
                <w:color w:val="000000"/>
              </w:rPr>
              <w:t>MINISTRUL LUCRĂRILOR PUBLICE, DEZVOLTĂRII ŞI ADMINISTRAŢIEI</w:t>
            </w:r>
          </w:p>
          <w:p w:rsidR="00125934" w:rsidRDefault="00125934" w:rsidP="007269B2">
            <w:pPr>
              <w:spacing w:line="276" w:lineRule="auto"/>
              <w:ind w:right="135"/>
              <w:rPr>
                <w:b/>
                <w:bCs/>
                <w:color w:val="000000"/>
              </w:rPr>
            </w:pPr>
            <w:r w:rsidRPr="004E4C95">
              <w:rPr>
                <w:b/>
                <w:bCs/>
                <w:color w:val="000000"/>
              </w:rPr>
              <w:t xml:space="preserve">        </w:t>
            </w:r>
          </w:p>
          <w:p w:rsidR="003D3EDE" w:rsidRPr="004E4C95" w:rsidRDefault="00125934" w:rsidP="00125934">
            <w:pPr>
              <w:spacing w:line="276" w:lineRule="auto"/>
              <w:ind w:right="135"/>
              <w:jc w:val="center"/>
              <w:rPr>
                <w:b/>
                <w:u w:val="single"/>
              </w:rPr>
            </w:pPr>
            <w:r w:rsidRPr="00125934">
              <w:rPr>
                <w:b/>
                <w:bCs/>
                <w:color w:val="000000"/>
              </w:rPr>
              <w:t>ION ŞTEFAN</w:t>
            </w:r>
          </w:p>
        </w:tc>
        <w:tc>
          <w:tcPr>
            <w:tcW w:w="4678" w:type="dxa"/>
          </w:tcPr>
          <w:p w:rsidR="003D3EDE" w:rsidRPr="004E4C95" w:rsidRDefault="003D3EDE" w:rsidP="00680951">
            <w:pPr>
              <w:spacing w:line="276" w:lineRule="auto"/>
              <w:jc w:val="center"/>
              <w:rPr>
                <w:rStyle w:val="arial12negru1"/>
                <w:rFonts w:ascii="Times New Roman" w:hAnsi="Times New Roman" w:cs="Times New Roman"/>
                <w:b/>
                <w:sz w:val="24"/>
                <w:szCs w:val="24"/>
              </w:rPr>
            </w:pPr>
          </w:p>
          <w:p w:rsidR="003D3EDE" w:rsidRPr="004E4C95" w:rsidRDefault="00125934" w:rsidP="00125934">
            <w:pPr>
              <w:spacing w:line="276" w:lineRule="auto"/>
              <w:jc w:val="center"/>
              <w:rPr>
                <w:rStyle w:val="arial12negru1"/>
                <w:rFonts w:ascii="Times New Roman" w:hAnsi="Times New Roman" w:cs="Times New Roman"/>
                <w:b/>
                <w:sz w:val="24"/>
                <w:szCs w:val="24"/>
              </w:rPr>
            </w:pPr>
            <w:r w:rsidRPr="00125934">
              <w:rPr>
                <w:rStyle w:val="arial12negru1"/>
                <w:rFonts w:ascii="Times New Roman" w:hAnsi="Times New Roman" w:cs="Times New Roman"/>
                <w:b/>
                <w:sz w:val="24"/>
                <w:szCs w:val="24"/>
              </w:rPr>
              <w:t>MINISTRUL FINANŢELOR PUBLICE</w:t>
            </w:r>
          </w:p>
          <w:p w:rsidR="003D3EDE" w:rsidRPr="004E4C95" w:rsidRDefault="003D3EDE" w:rsidP="00680951">
            <w:pPr>
              <w:spacing w:line="276" w:lineRule="auto"/>
              <w:rPr>
                <w:rStyle w:val="arial12negru1"/>
                <w:rFonts w:ascii="Times New Roman" w:hAnsi="Times New Roman" w:cs="Times New Roman"/>
                <w:b/>
                <w:sz w:val="24"/>
                <w:szCs w:val="24"/>
              </w:rPr>
            </w:pPr>
          </w:p>
          <w:p w:rsidR="003D3EDE" w:rsidRPr="004E4C95" w:rsidRDefault="00125934" w:rsidP="00680951">
            <w:pPr>
              <w:spacing w:line="276" w:lineRule="auto"/>
              <w:ind w:right="135"/>
              <w:jc w:val="center"/>
              <w:rPr>
                <w:b/>
                <w:bCs/>
              </w:rPr>
            </w:pPr>
            <w:r w:rsidRPr="00125934">
              <w:rPr>
                <w:b/>
                <w:bCs/>
              </w:rPr>
              <w:t>VASILE-FLORIN CÎŢU</w:t>
            </w:r>
          </w:p>
        </w:tc>
      </w:tr>
      <w:tr w:rsidR="003D3EDE" w:rsidRPr="00680951" w:rsidTr="00B02060">
        <w:tc>
          <w:tcPr>
            <w:tcW w:w="10063" w:type="dxa"/>
            <w:gridSpan w:val="2"/>
          </w:tcPr>
          <w:p w:rsidR="003D3EDE" w:rsidRPr="004E4C95" w:rsidRDefault="003D3EDE" w:rsidP="00680951">
            <w:pPr>
              <w:spacing w:line="276" w:lineRule="auto"/>
              <w:jc w:val="center"/>
              <w:rPr>
                <w:rStyle w:val="arial12negru1"/>
                <w:rFonts w:ascii="Times New Roman" w:hAnsi="Times New Roman" w:cs="Times New Roman"/>
                <w:b/>
                <w:sz w:val="24"/>
                <w:szCs w:val="24"/>
              </w:rPr>
            </w:pPr>
          </w:p>
          <w:p w:rsidR="003D3EDE" w:rsidRPr="004E4C95" w:rsidRDefault="003D3EDE" w:rsidP="00680951">
            <w:pPr>
              <w:spacing w:line="276" w:lineRule="auto"/>
              <w:rPr>
                <w:b/>
              </w:rPr>
            </w:pPr>
          </w:p>
          <w:p w:rsidR="003D3EDE" w:rsidRPr="004E4C95" w:rsidRDefault="003D3EDE" w:rsidP="00680951">
            <w:pPr>
              <w:spacing w:line="276" w:lineRule="auto"/>
              <w:jc w:val="center"/>
              <w:rPr>
                <w:b/>
              </w:rPr>
            </w:pPr>
          </w:p>
          <w:p w:rsidR="003D3EDE" w:rsidRDefault="00125934" w:rsidP="00680951">
            <w:pPr>
              <w:spacing w:line="276" w:lineRule="auto"/>
              <w:jc w:val="center"/>
              <w:rPr>
                <w:b/>
              </w:rPr>
            </w:pPr>
            <w:r w:rsidRPr="00125934">
              <w:rPr>
                <w:b/>
              </w:rPr>
              <w:t>MINISTRUL JUSTIŢIEI</w:t>
            </w:r>
          </w:p>
          <w:p w:rsidR="00125934" w:rsidRPr="004E4C95" w:rsidRDefault="00125934" w:rsidP="00680951">
            <w:pPr>
              <w:spacing w:line="276" w:lineRule="auto"/>
              <w:jc w:val="center"/>
              <w:rPr>
                <w:b/>
              </w:rPr>
            </w:pPr>
          </w:p>
          <w:p w:rsidR="003D3EDE" w:rsidRPr="00680951" w:rsidRDefault="00125934" w:rsidP="00680951">
            <w:pPr>
              <w:spacing w:line="276" w:lineRule="auto"/>
              <w:ind w:right="135"/>
              <w:jc w:val="center"/>
              <w:rPr>
                <w:b/>
                <w:u w:val="single"/>
              </w:rPr>
            </w:pPr>
            <w:r w:rsidRPr="00125934">
              <w:rPr>
                <w:b/>
              </w:rPr>
              <w:t>MARIAN CĂTĂLIN PREDOIU</w:t>
            </w:r>
          </w:p>
        </w:tc>
      </w:tr>
      <w:tr w:rsidR="003D3EDE" w:rsidRPr="00680951" w:rsidTr="00B02060">
        <w:tc>
          <w:tcPr>
            <w:tcW w:w="5385" w:type="dxa"/>
          </w:tcPr>
          <w:p w:rsidR="003D3EDE" w:rsidRPr="00680951" w:rsidRDefault="003D3EDE" w:rsidP="00680951">
            <w:pPr>
              <w:spacing w:line="276" w:lineRule="auto"/>
              <w:ind w:right="135"/>
              <w:jc w:val="center"/>
              <w:rPr>
                <w:b/>
                <w:u w:val="single"/>
              </w:rPr>
            </w:pPr>
          </w:p>
        </w:tc>
        <w:tc>
          <w:tcPr>
            <w:tcW w:w="4678" w:type="dxa"/>
          </w:tcPr>
          <w:p w:rsidR="003D3EDE" w:rsidRPr="00680951" w:rsidRDefault="003D3EDE" w:rsidP="00680951">
            <w:pPr>
              <w:spacing w:line="276" w:lineRule="auto"/>
              <w:ind w:right="135"/>
              <w:jc w:val="center"/>
              <w:rPr>
                <w:b/>
                <w:u w:val="single"/>
              </w:rPr>
            </w:pPr>
          </w:p>
        </w:tc>
      </w:tr>
    </w:tbl>
    <w:p w:rsidR="00E2300B" w:rsidRDefault="00E2300B" w:rsidP="00680951">
      <w:pPr>
        <w:tabs>
          <w:tab w:val="left" w:pos="0"/>
        </w:tabs>
        <w:spacing w:line="276" w:lineRule="auto"/>
      </w:pPr>
    </w:p>
    <w:sectPr w:rsidR="00E2300B" w:rsidSect="006D2B0D">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96" w:rsidRDefault="00505096" w:rsidP="00530FF5">
      <w:r>
        <w:separator/>
      </w:r>
    </w:p>
  </w:endnote>
  <w:endnote w:type="continuationSeparator" w:id="0">
    <w:p w:rsidR="00505096" w:rsidRDefault="00505096" w:rsidP="0053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76" w:rsidRDefault="007A6C76" w:rsidP="00D7655D">
    <w:pPr>
      <w:pStyle w:val="Footer"/>
      <w:jc w:val="center"/>
    </w:pPr>
  </w:p>
  <w:p w:rsidR="007A6C76" w:rsidRDefault="007A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96" w:rsidRDefault="00505096" w:rsidP="00530FF5">
      <w:r>
        <w:separator/>
      </w:r>
    </w:p>
  </w:footnote>
  <w:footnote w:type="continuationSeparator" w:id="0">
    <w:p w:rsidR="00505096" w:rsidRDefault="00505096" w:rsidP="0053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C7E"/>
    <w:multiLevelType w:val="hybridMultilevel"/>
    <w:tmpl w:val="44480E88"/>
    <w:lvl w:ilvl="0" w:tplc="52ECA70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AD20ED"/>
    <w:multiLevelType w:val="hybridMultilevel"/>
    <w:tmpl w:val="F4FAB4A4"/>
    <w:lvl w:ilvl="0" w:tplc="37B45D4E">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105CA9"/>
    <w:multiLevelType w:val="hybridMultilevel"/>
    <w:tmpl w:val="460A68F0"/>
    <w:lvl w:ilvl="0" w:tplc="DE3E80D0">
      <w:start w:val="1"/>
      <w:numFmt w:val="decimal"/>
      <w:pStyle w:val="ParagraphNumbering"/>
      <w:lvlText w:val="%1.     "/>
      <w:lvlJc w:val="left"/>
      <w:pPr>
        <w:tabs>
          <w:tab w:val="num" w:pos="1080"/>
        </w:tabs>
        <w:ind w:left="36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F63F4"/>
    <w:multiLevelType w:val="hybridMultilevel"/>
    <w:tmpl w:val="91AE5240"/>
    <w:lvl w:ilvl="0" w:tplc="B59479B4">
      <w:start w:val="3"/>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D85594"/>
    <w:multiLevelType w:val="hybridMultilevel"/>
    <w:tmpl w:val="04707774"/>
    <w:lvl w:ilvl="0" w:tplc="9A202258">
      <w:start w:val="51"/>
      <w:numFmt w:val="bullet"/>
      <w:lvlText w:val="-"/>
      <w:lvlJc w:val="left"/>
      <w:pPr>
        <w:ind w:left="1211" w:hanging="360"/>
      </w:pPr>
      <w:rPr>
        <w:rFonts w:ascii="Calibri" w:eastAsia="Calibri" w:hAnsi="Calibri"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51D98"/>
    <w:multiLevelType w:val="hybridMultilevel"/>
    <w:tmpl w:val="CC8A54A2"/>
    <w:lvl w:ilvl="0" w:tplc="4050BC06">
      <w:start w:val="25"/>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28F7DA2"/>
    <w:multiLevelType w:val="hybridMultilevel"/>
    <w:tmpl w:val="A8683D0A"/>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25785B"/>
    <w:multiLevelType w:val="hybridMultilevel"/>
    <w:tmpl w:val="4DB48472"/>
    <w:lvl w:ilvl="0" w:tplc="3438D1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D7B97"/>
    <w:multiLevelType w:val="hybridMultilevel"/>
    <w:tmpl w:val="F3688F72"/>
    <w:lvl w:ilvl="0" w:tplc="72D4A4CE">
      <w:start w:val="1"/>
      <w:numFmt w:val="bullet"/>
      <w:lvlText w:val="-"/>
      <w:lvlJc w:val="left"/>
      <w:pPr>
        <w:ind w:left="1080" w:hanging="360"/>
      </w:pPr>
      <w:rPr>
        <w:rFonts w:ascii="Trebuchet MS" w:eastAsia="Calibri" w:hAnsi="Trebuchet MS" w:cs="Times New Roman" w:hint="default"/>
        <w:b/>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81C1FD0"/>
    <w:multiLevelType w:val="hybridMultilevel"/>
    <w:tmpl w:val="DF9E6740"/>
    <w:lvl w:ilvl="0" w:tplc="AB94FA0A">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89B2563"/>
    <w:multiLevelType w:val="hybridMultilevel"/>
    <w:tmpl w:val="E2661DF2"/>
    <w:lvl w:ilvl="0" w:tplc="857C47B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E887959"/>
    <w:multiLevelType w:val="hybridMultilevel"/>
    <w:tmpl w:val="3EBE6384"/>
    <w:lvl w:ilvl="0" w:tplc="60120BFA">
      <w:start w:val="1"/>
      <w:numFmt w:val="upperLetter"/>
      <w:lvlText w:val="%1."/>
      <w:lvlJc w:val="left"/>
      <w:pPr>
        <w:ind w:left="1353" w:hanging="360"/>
      </w:pPr>
      <w:rPr>
        <w:rFonts w:ascii="Trebuchet MS" w:eastAsia="Calibri" w:hAnsi="Trebuchet MS" w:cs="Times New Roman"/>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4AA066D0">
      <w:start w:val="2500"/>
      <w:numFmt w:val="decimal"/>
      <w:lvlText w:val="%4"/>
      <w:lvlJc w:val="left"/>
      <w:pPr>
        <w:ind w:left="3349" w:hanging="480"/>
      </w:pPr>
      <w:rPr>
        <w:rFonts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7F6D5E31"/>
    <w:multiLevelType w:val="hybridMultilevel"/>
    <w:tmpl w:val="7FF2C870"/>
    <w:lvl w:ilvl="0" w:tplc="77F2DD5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8"/>
  </w:num>
  <w:num w:numId="3">
    <w:abstractNumId w:val="5"/>
  </w:num>
  <w:num w:numId="4">
    <w:abstractNumId w:val="4"/>
  </w:num>
  <w:num w:numId="5">
    <w:abstractNumId w:val="12"/>
  </w:num>
  <w:num w:numId="6">
    <w:abstractNumId w:val="11"/>
  </w:num>
  <w:num w:numId="7">
    <w:abstractNumId w:val="2"/>
  </w:num>
  <w:num w:numId="8">
    <w:abstractNumId w:val="18"/>
  </w:num>
  <w:num w:numId="9">
    <w:abstractNumId w:val="13"/>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9"/>
  </w:num>
  <w:num w:numId="15">
    <w:abstractNumId w:val="14"/>
  </w:num>
  <w:num w:numId="16">
    <w:abstractNumId w:val="16"/>
  </w:num>
  <w:num w:numId="17">
    <w:abstractNumId w:val="10"/>
  </w:num>
  <w:num w:numId="18">
    <w:abstractNumId w:val="1"/>
  </w:num>
  <w:num w:numId="19">
    <w:abstractNumId w:val="0"/>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04BC"/>
    <w:rsid w:val="0000160A"/>
    <w:rsid w:val="00001E53"/>
    <w:rsid w:val="00007698"/>
    <w:rsid w:val="000134E4"/>
    <w:rsid w:val="000144C7"/>
    <w:rsid w:val="00014BA5"/>
    <w:rsid w:val="00015493"/>
    <w:rsid w:val="00015973"/>
    <w:rsid w:val="00016245"/>
    <w:rsid w:val="000206BD"/>
    <w:rsid w:val="00027FD4"/>
    <w:rsid w:val="0003103B"/>
    <w:rsid w:val="0003207A"/>
    <w:rsid w:val="00034C64"/>
    <w:rsid w:val="000352DD"/>
    <w:rsid w:val="000361FE"/>
    <w:rsid w:val="000366D1"/>
    <w:rsid w:val="000369D5"/>
    <w:rsid w:val="00036C82"/>
    <w:rsid w:val="00040AA2"/>
    <w:rsid w:val="00041C72"/>
    <w:rsid w:val="00043D59"/>
    <w:rsid w:val="0004549D"/>
    <w:rsid w:val="00045C22"/>
    <w:rsid w:val="00053255"/>
    <w:rsid w:val="0005410B"/>
    <w:rsid w:val="00060388"/>
    <w:rsid w:val="000604CB"/>
    <w:rsid w:val="00061F64"/>
    <w:rsid w:val="00062459"/>
    <w:rsid w:val="00062BF8"/>
    <w:rsid w:val="000630D9"/>
    <w:rsid w:val="0006726B"/>
    <w:rsid w:val="000724D5"/>
    <w:rsid w:val="00072D74"/>
    <w:rsid w:val="000743B8"/>
    <w:rsid w:val="0007545B"/>
    <w:rsid w:val="000775A8"/>
    <w:rsid w:val="00081CB6"/>
    <w:rsid w:val="00086E19"/>
    <w:rsid w:val="00091D34"/>
    <w:rsid w:val="00093AC7"/>
    <w:rsid w:val="0009410A"/>
    <w:rsid w:val="00096281"/>
    <w:rsid w:val="0009718F"/>
    <w:rsid w:val="000A1ED6"/>
    <w:rsid w:val="000A5D69"/>
    <w:rsid w:val="000B2573"/>
    <w:rsid w:val="000B2C38"/>
    <w:rsid w:val="000B2E28"/>
    <w:rsid w:val="000B3211"/>
    <w:rsid w:val="000B604F"/>
    <w:rsid w:val="000C0192"/>
    <w:rsid w:val="000C1E3E"/>
    <w:rsid w:val="000C258E"/>
    <w:rsid w:val="000C3CCD"/>
    <w:rsid w:val="000C4C58"/>
    <w:rsid w:val="000C5EF0"/>
    <w:rsid w:val="000C608D"/>
    <w:rsid w:val="000C6801"/>
    <w:rsid w:val="000D2C99"/>
    <w:rsid w:val="000D3534"/>
    <w:rsid w:val="000D4B74"/>
    <w:rsid w:val="000E2995"/>
    <w:rsid w:val="000E2DA4"/>
    <w:rsid w:val="000E396A"/>
    <w:rsid w:val="000E3ADE"/>
    <w:rsid w:val="000E4141"/>
    <w:rsid w:val="000E5207"/>
    <w:rsid w:val="000E53EE"/>
    <w:rsid w:val="000E5B77"/>
    <w:rsid w:val="000E5FF2"/>
    <w:rsid w:val="000E7F99"/>
    <w:rsid w:val="000F08DE"/>
    <w:rsid w:val="000F3393"/>
    <w:rsid w:val="000F5A8F"/>
    <w:rsid w:val="000F69E5"/>
    <w:rsid w:val="000F6B8E"/>
    <w:rsid w:val="000F71EC"/>
    <w:rsid w:val="000F79AA"/>
    <w:rsid w:val="00103519"/>
    <w:rsid w:val="0010430E"/>
    <w:rsid w:val="0010435F"/>
    <w:rsid w:val="00105A21"/>
    <w:rsid w:val="00105A27"/>
    <w:rsid w:val="00106369"/>
    <w:rsid w:val="0011029F"/>
    <w:rsid w:val="00111EFD"/>
    <w:rsid w:val="00112666"/>
    <w:rsid w:val="00113321"/>
    <w:rsid w:val="001136F9"/>
    <w:rsid w:val="00115488"/>
    <w:rsid w:val="001158B8"/>
    <w:rsid w:val="00115E1E"/>
    <w:rsid w:val="0011673B"/>
    <w:rsid w:val="0011754A"/>
    <w:rsid w:val="00117ED9"/>
    <w:rsid w:val="001214B6"/>
    <w:rsid w:val="00123A30"/>
    <w:rsid w:val="00125934"/>
    <w:rsid w:val="001277C8"/>
    <w:rsid w:val="00130B48"/>
    <w:rsid w:val="00134316"/>
    <w:rsid w:val="001348CB"/>
    <w:rsid w:val="0013620F"/>
    <w:rsid w:val="0013667A"/>
    <w:rsid w:val="00137C4E"/>
    <w:rsid w:val="00140051"/>
    <w:rsid w:val="001400F6"/>
    <w:rsid w:val="0014052A"/>
    <w:rsid w:val="00141893"/>
    <w:rsid w:val="001458D4"/>
    <w:rsid w:val="0014641F"/>
    <w:rsid w:val="00146789"/>
    <w:rsid w:val="001505BC"/>
    <w:rsid w:val="00157499"/>
    <w:rsid w:val="00157502"/>
    <w:rsid w:val="00157E66"/>
    <w:rsid w:val="00161394"/>
    <w:rsid w:val="00161E51"/>
    <w:rsid w:val="00163CC3"/>
    <w:rsid w:val="00165333"/>
    <w:rsid w:val="0016611A"/>
    <w:rsid w:val="00166518"/>
    <w:rsid w:val="001730DC"/>
    <w:rsid w:val="00174D86"/>
    <w:rsid w:val="0017720F"/>
    <w:rsid w:val="00180752"/>
    <w:rsid w:val="0018091E"/>
    <w:rsid w:val="001843FA"/>
    <w:rsid w:val="00184753"/>
    <w:rsid w:val="00185278"/>
    <w:rsid w:val="00185694"/>
    <w:rsid w:val="00186515"/>
    <w:rsid w:val="00192A50"/>
    <w:rsid w:val="001939AC"/>
    <w:rsid w:val="001A0D3B"/>
    <w:rsid w:val="001A1DD3"/>
    <w:rsid w:val="001A2D22"/>
    <w:rsid w:val="001A32A3"/>
    <w:rsid w:val="001A38E8"/>
    <w:rsid w:val="001A4DF7"/>
    <w:rsid w:val="001A59AF"/>
    <w:rsid w:val="001A6778"/>
    <w:rsid w:val="001A6D9E"/>
    <w:rsid w:val="001B0502"/>
    <w:rsid w:val="001B2A03"/>
    <w:rsid w:val="001B3FB3"/>
    <w:rsid w:val="001B455B"/>
    <w:rsid w:val="001B677F"/>
    <w:rsid w:val="001B7B4B"/>
    <w:rsid w:val="001C3788"/>
    <w:rsid w:val="001C476B"/>
    <w:rsid w:val="001C6A7C"/>
    <w:rsid w:val="001C6EB0"/>
    <w:rsid w:val="001C70F8"/>
    <w:rsid w:val="001D0059"/>
    <w:rsid w:val="001D1479"/>
    <w:rsid w:val="001D22D7"/>
    <w:rsid w:val="001D4599"/>
    <w:rsid w:val="001D45CB"/>
    <w:rsid w:val="001D6EBC"/>
    <w:rsid w:val="001E0697"/>
    <w:rsid w:val="001E0754"/>
    <w:rsid w:val="001E16A7"/>
    <w:rsid w:val="001E4F79"/>
    <w:rsid w:val="001E61DB"/>
    <w:rsid w:val="001E65C7"/>
    <w:rsid w:val="001F0743"/>
    <w:rsid w:val="001F0A12"/>
    <w:rsid w:val="001F1006"/>
    <w:rsid w:val="001F13FA"/>
    <w:rsid w:val="001F2AA4"/>
    <w:rsid w:val="001F5ADF"/>
    <w:rsid w:val="001F76BE"/>
    <w:rsid w:val="002045CE"/>
    <w:rsid w:val="00206822"/>
    <w:rsid w:val="00206DFB"/>
    <w:rsid w:val="002121BB"/>
    <w:rsid w:val="002163B9"/>
    <w:rsid w:val="002209ED"/>
    <w:rsid w:val="00224F6E"/>
    <w:rsid w:val="00225493"/>
    <w:rsid w:val="00226EDE"/>
    <w:rsid w:val="00227774"/>
    <w:rsid w:val="0023330D"/>
    <w:rsid w:val="00233A2E"/>
    <w:rsid w:val="00234828"/>
    <w:rsid w:val="00234A62"/>
    <w:rsid w:val="002350B2"/>
    <w:rsid w:val="00235410"/>
    <w:rsid w:val="00237094"/>
    <w:rsid w:val="002414D4"/>
    <w:rsid w:val="00241A03"/>
    <w:rsid w:val="002435B1"/>
    <w:rsid w:val="002435DF"/>
    <w:rsid w:val="002455CC"/>
    <w:rsid w:val="00245C5E"/>
    <w:rsid w:val="002460AE"/>
    <w:rsid w:val="00250B1D"/>
    <w:rsid w:val="00251D16"/>
    <w:rsid w:val="00252D52"/>
    <w:rsid w:val="00252D9F"/>
    <w:rsid w:val="00252F5E"/>
    <w:rsid w:val="0025413E"/>
    <w:rsid w:val="0025489D"/>
    <w:rsid w:val="00255359"/>
    <w:rsid w:val="0025747C"/>
    <w:rsid w:val="00262782"/>
    <w:rsid w:val="00264352"/>
    <w:rsid w:val="00265EF8"/>
    <w:rsid w:val="00267002"/>
    <w:rsid w:val="00270773"/>
    <w:rsid w:val="00271993"/>
    <w:rsid w:val="00275FD8"/>
    <w:rsid w:val="002770BA"/>
    <w:rsid w:val="00281FDA"/>
    <w:rsid w:val="00282883"/>
    <w:rsid w:val="00283BB4"/>
    <w:rsid w:val="0028588D"/>
    <w:rsid w:val="002863D7"/>
    <w:rsid w:val="00287C14"/>
    <w:rsid w:val="002911B6"/>
    <w:rsid w:val="002914AB"/>
    <w:rsid w:val="002938AB"/>
    <w:rsid w:val="002A0DEB"/>
    <w:rsid w:val="002A3495"/>
    <w:rsid w:val="002A40BC"/>
    <w:rsid w:val="002A7616"/>
    <w:rsid w:val="002B0692"/>
    <w:rsid w:val="002B1412"/>
    <w:rsid w:val="002B309E"/>
    <w:rsid w:val="002B6118"/>
    <w:rsid w:val="002B78CA"/>
    <w:rsid w:val="002C2758"/>
    <w:rsid w:val="002C40A2"/>
    <w:rsid w:val="002C42EF"/>
    <w:rsid w:val="002C5675"/>
    <w:rsid w:val="002C6B29"/>
    <w:rsid w:val="002C73C8"/>
    <w:rsid w:val="002C7801"/>
    <w:rsid w:val="002C7ABB"/>
    <w:rsid w:val="002D03D6"/>
    <w:rsid w:val="002D04ED"/>
    <w:rsid w:val="002D2F54"/>
    <w:rsid w:val="002D3ADD"/>
    <w:rsid w:val="002D6083"/>
    <w:rsid w:val="002D6E2A"/>
    <w:rsid w:val="002D764B"/>
    <w:rsid w:val="002E2B51"/>
    <w:rsid w:val="002E3843"/>
    <w:rsid w:val="002E5554"/>
    <w:rsid w:val="002F1A49"/>
    <w:rsid w:val="002F3DFA"/>
    <w:rsid w:val="002F4BD3"/>
    <w:rsid w:val="002F68C7"/>
    <w:rsid w:val="002F6DC5"/>
    <w:rsid w:val="002F74DC"/>
    <w:rsid w:val="00302A6F"/>
    <w:rsid w:val="00303D77"/>
    <w:rsid w:val="00306201"/>
    <w:rsid w:val="00306412"/>
    <w:rsid w:val="003064FE"/>
    <w:rsid w:val="00306849"/>
    <w:rsid w:val="00307874"/>
    <w:rsid w:val="003078DB"/>
    <w:rsid w:val="003079BF"/>
    <w:rsid w:val="0031290A"/>
    <w:rsid w:val="003131CD"/>
    <w:rsid w:val="0031332E"/>
    <w:rsid w:val="0031495B"/>
    <w:rsid w:val="003165E4"/>
    <w:rsid w:val="00316AC1"/>
    <w:rsid w:val="00320599"/>
    <w:rsid w:val="00322C43"/>
    <w:rsid w:val="00324050"/>
    <w:rsid w:val="00324FAB"/>
    <w:rsid w:val="00326699"/>
    <w:rsid w:val="003267AE"/>
    <w:rsid w:val="00326D35"/>
    <w:rsid w:val="00330950"/>
    <w:rsid w:val="00332005"/>
    <w:rsid w:val="0033221E"/>
    <w:rsid w:val="003336D4"/>
    <w:rsid w:val="00333D75"/>
    <w:rsid w:val="00333F00"/>
    <w:rsid w:val="0033488B"/>
    <w:rsid w:val="00334CDB"/>
    <w:rsid w:val="00336553"/>
    <w:rsid w:val="00336C5A"/>
    <w:rsid w:val="00341ACD"/>
    <w:rsid w:val="00344DE3"/>
    <w:rsid w:val="00345F3C"/>
    <w:rsid w:val="00350718"/>
    <w:rsid w:val="003527D2"/>
    <w:rsid w:val="00353D7D"/>
    <w:rsid w:val="00354EF0"/>
    <w:rsid w:val="003551CB"/>
    <w:rsid w:val="00355C24"/>
    <w:rsid w:val="003607D8"/>
    <w:rsid w:val="00362B53"/>
    <w:rsid w:val="003653CA"/>
    <w:rsid w:val="003658CA"/>
    <w:rsid w:val="003664EE"/>
    <w:rsid w:val="00373979"/>
    <w:rsid w:val="00373ED8"/>
    <w:rsid w:val="0037697A"/>
    <w:rsid w:val="003774C2"/>
    <w:rsid w:val="00377B72"/>
    <w:rsid w:val="00387B71"/>
    <w:rsid w:val="00391083"/>
    <w:rsid w:val="0039203B"/>
    <w:rsid w:val="003955B6"/>
    <w:rsid w:val="00396A28"/>
    <w:rsid w:val="00396BA6"/>
    <w:rsid w:val="003976C1"/>
    <w:rsid w:val="00397D4D"/>
    <w:rsid w:val="003A292C"/>
    <w:rsid w:val="003A297F"/>
    <w:rsid w:val="003A39F3"/>
    <w:rsid w:val="003B1244"/>
    <w:rsid w:val="003B79E1"/>
    <w:rsid w:val="003C1543"/>
    <w:rsid w:val="003C27EC"/>
    <w:rsid w:val="003C35AD"/>
    <w:rsid w:val="003C6354"/>
    <w:rsid w:val="003C6385"/>
    <w:rsid w:val="003D0E36"/>
    <w:rsid w:val="003D3EDE"/>
    <w:rsid w:val="003D52FF"/>
    <w:rsid w:val="003D5B56"/>
    <w:rsid w:val="003E3036"/>
    <w:rsid w:val="003F4604"/>
    <w:rsid w:val="003F5C3B"/>
    <w:rsid w:val="004019C3"/>
    <w:rsid w:val="00402421"/>
    <w:rsid w:val="00405199"/>
    <w:rsid w:val="00411584"/>
    <w:rsid w:val="00411D31"/>
    <w:rsid w:val="00412343"/>
    <w:rsid w:val="00414154"/>
    <w:rsid w:val="004167DA"/>
    <w:rsid w:val="00416DBD"/>
    <w:rsid w:val="004220BD"/>
    <w:rsid w:val="00423B1A"/>
    <w:rsid w:val="00423C5A"/>
    <w:rsid w:val="00424289"/>
    <w:rsid w:val="00426CDC"/>
    <w:rsid w:val="004318E1"/>
    <w:rsid w:val="00435146"/>
    <w:rsid w:val="00435D09"/>
    <w:rsid w:val="004369CF"/>
    <w:rsid w:val="0043726A"/>
    <w:rsid w:val="004412AD"/>
    <w:rsid w:val="00447344"/>
    <w:rsid w:val="00450D60"/>
    <w:rsid w:val="004510D0"/>
    <w:rsid w:val="0045110B"/>
    <w:rsid w:val="004549D4"/>
    <w:rsid w:val="00455530"/>
    <w:rsid w:val="0045692A"/>
    <w:rsid w:val="00456A85"/>
    <w:rsid w:val="00457FEE"/>
    <w:rsid w:val="00460D84"/>
    <w:rsid w:val="0046178E"/>
    <w:rsid w:val="00465EB9"/>
    <w:rsid w:val="0046781E"/>
    <w:rsid w:val="00472F20"/>
    <w:rsid w:val="00474150"/>
    <w:rsid w:val="004745D5"/>
    <w:rsid w:val="00474FE4"/>
    <w:rsid w:val="0047603D"/>
    <w:rsid w:val="00477665"/>
    <w:rsid w:val="004801B4"/>
    <w:rsid w:val="004835F7"/>
    <w:rsid w:val="00483B8B"/>
    <w:rsid w:val="00487537"/>
    <w:rsid w:val="004935A6"/>
    <w:rsid w:val="00494A12"/>
    <w:rsid w:val="00494E57"/>
    <w:rsid w:val="0049591B"/>
    <w:rsid w:val="00495F6A"/>
    <w:rsid w:val="0049797B"/>
    <w:rsid w:val="004A03A6"/>
    <w:rsid w:val="004A09BD"/>
    <w:rsid w:val="004A1300"/>
    <w:rsid w:val="004A3E4B"/>
    <w:rsid w:val="004A7F03"/>
    <w:rsid w:val="004B0B54"/>
    <w:rsid w:val="004B42BB"/>
    <w:rsid w:val="004B6145"/>
    <w:rsid w:val="004C59D2"/>
    <w:rsid w:val="004C5FC0"/>
    <w:rsid w:val="004C6B46"/>
    <w:rsid w:val="004C6F63"/>
    <w:rsid w:val="004D0656"/>
    <w:rsid w:val="004D2625"/>
    <w:rsid w:val="004D7083"/>
    <w:rsid w:val="004D7950"/>
    <w:rsid w:val="004E0ACA"/>
    <w:rsid w:val="004E0CED"/>
    <w:rsid w:val="004E1282"/>
    <w:rsid w:val="004E3FE1"/>
    <w:rsid w:val="004E4C95"/>
    <w:rsid w:val="004E6AA6"/>
    <w:rsid w:val="004E7DC1"/>
    <w:rsid w:val="004F15C0"/>
    <w:rsid w:val="004F1900"/>
    <w:rsid w:val="004F26D8"/>
    <w:rsid w:val="004F7189"/>
    <w:rsid w:val="00504E55"/>
    <w:rsid w:val="00505096"/>
    <w:rsid w:val="00507FF0"/>
    <w:rsid w:val="00514103"/>
    <w:rsid w:val="005212B5"/>
    <w:rsid w:val="005217BE"/>
    <w:rsid w:val="00530FF5"/>
    <w:rsid w:val="00533E58"/>
    <w:rsid w:val="00536287"/>
    <w:rsid w:val="00536530"/>
    <w:rsid w:val="00537E2B"/>
    <w:rsid w:val="0054217E"/>
    <w:rsid w:val="005425CC"/>
    <w:rsid w:val="00543EA9"/>
    <w:rsid w:val="005444FC"/>
    <w:rsid w:val="00547288"/>
    <w:rsid w:val="00547671"/>
    <w:rsid w:val="00547AED"/>
    <w:rsid w:val="0055110A"/>
    <w:rsid w:val="005535E5"/>
    <w:rsid w:val="0055528B"/>
    <w:rsid w:val="0055698E"/>
    <w:rsid w:val="00560AC9"/>
    <w:rsid w:val="00560B43"/>
    <w:rsid w:val="00562043"/>
    <w:rsid w:val="00562584"/>
    <w:rsid w:val="00570490"/>
    <w:rsid w:val="005709BD"/>
    <w:rsid w:val="00572497"/>
    <w:rsid w:val="00577610"/>
    <w:rsid w:val="00580F3D"/>
    <w:rsid w:val="005828AB"/>
    <w:rsid w:val="00582AF6"/>
    <w:rsid w:val="00583111"/>
    <w:rsid w:val="00583CFA"/>
    <w:rsid w:val="00585BE8"/>
    <w:rsid w:val="00585C92"/>
    <w:rsid w:val="00590C9C"/>
    <w:rsid w:val="0059408C"/>
    <w:rsid w:val="00595895"/>
    <w:rsid w:val="0059665A"/>
    <w:rsid w:val="005A0E90"/>
    <w:rsid w:val="005A10B2"/>
    <w:rsid w:val="005A247F"/>
    <w:rsid w:val="005A42DF"/>
    <w:rsid w:val="005A494F"/>
    <w:rsid w:val="005A4A07"/>
    <w:rsid w:val="005A50D2"/>
    <w:rsid w:val="005A5553"/>
    <w:rsid w:val="005A5E16"/>
    <w:rsid w:val="005A611C"/>
    <w:rsid w:val="005B0892"/>
    <w:rsid w:val="005B0C6F"/>
    <w:rsid w:val="005B5584"/>
    <w:rsid w:val="005B572A"/>
    <w:rsid w:val="005C44B4"/>
    <w:rsid w:val="005D04A0"/>
    <w:rsid w:val="005E3D18"/>
    <w:rsid w:val="005E69D6"/>
    <w:rsid w:val="005F1828"/>
    <w:rsid w:val="005F1855"/>
    <w:rsid w:val="005F5D95"/>
    <w:rsid w:val="005F7392"/>
    <w:rsid w:val="00601AFC"/>
    <w:rsid w:val="006029F3"/>
    <w:rsid w:val="00603261"/>
    <w:rsid w:val="00603590"/>
    <w:rsid w:val="0060675B"/>
    <w:rsid w:val="00611CF4"/>
    <w:rsid w:val="00613945"/>
    <w:rsid w:val="0061500B"/>
    <w:rsid w:val="00620AC8"/>
    <w:rsid w:val="0062206F"/>
    <w:rsid w:val="006234E6"/>
    <w:rsid w:val="006235DF"/>
    <w:rsid w:val="0062564D"/>
    <w:rsid w:val="00626236"/>
    <w:rsid w:val="00627611"/>
    <w:rsid w:val="00631171"/>
    <w:rsid w:val="00633FB5"/>
    <w:rsid w:val="00637425"/>
    <w:rsid w:val="00637CD4"/>
    <w:rsid w:val="00644466"/>
    <w:rsid w:val="006468AD"/>
    <w:rsid w:val="00646C09"/>
    <w:rsid w:val="006507C1"/>
    <w:rsid w:val="00650AC3"/>
    <w:rsid w:val="006520E5"/>
    <w:rsid w:val="00652FCC"/>
    <w:rsid w:val="006578C8"/>
    <w:rsid w:val="00657EDC"/>
    <w:rsid w:val="00662775"/>
    <w:rsid w:val="0066342B"/>
    <w:rsid w:val="0066467D"/>
    <w:rsid w:val="00665222"/>
    <w:rsid w:val="00667BC6"/>
    <w:rsid w:val="00667E6A"/>
    <w:rsid w:val="006702D6"/>
    <w:rsid w:val="006769C5"/>
    <w:rsid w:val="00676C6F"/>
    <w:rsid w:val="00680951"/>
    <w:rsid w:val="006809BB"/>
    <w:rsid w:val="00681A2F"/>
    <w:rsid w:val="00681D1D"/>
    <w:rsid w:val="00682A3C"/>
    <w:rsid w:val="006847FD"/>
    <w:rsid w:val="00685E0C"/>
    <w:rsid w:val="0069074B"/>
    <w:rsid w:val="00693DBA"/>
    <w:rsid w:val="00694625"/>
    <w:rsid w:val="00694AAB"/>
    <w:rsid w:val="00694DEF"/>
    <w:rsid w:val="0069618C"/>
    <w:rsid w:val="00697174"/>
    <w:rsid w:val="00697B62"/>
    <w:rsid w:val="006A10DD"/>
    <w:rsid w:val="006A33EE"/>
    <w:rsid w:val="006A5AD3"/>
    <w:rsid w:val="006A696B"/>
    <w:rsid w:val="006A71C5"/>
    <w:rsid w:val="006B333E"/>
    <w:rsid w:val="006B4C83"/>
    <w:rsid w:val="006B5C58"/>
    <w:rsid w:val="006B610A"/>
    <w:rsid w:val="006C26CA"/>
    <w:rsid w:val="006C4506"/>
    <w:rsid w:val="006C4802"/>
    <w:rsid w:val="006C4A99"/>
    <w:rsid w:val="006C4DD9"/>
    <w:rsid w:val="006C5C98"/>
    <w:rsid w:val="006C5D4D"/>
    <w:rsid w:val="006D0011"/>
    <w:rsid w:val="006D0FDA"/>
    <w:rsid w:val="006D24C3"/>
    <w:rsid w:val="006D2B0D"/>
    <w:rsid w:val="006D499E"/>
    <w:rsid w:val="006D4D24"/>
    <w:rsid w:val="006D4FC7"/>
    <w:rsid w:val="006D6877"/>
    <w:rsid w:val="006D6B7A"/>
    <w:rsid w:val="006D6D66"/>
    <w:rsid w:val="006E2564"/>
    <w:rsid w:val="006E2CEF"/>
    <w:rsid w:val="006E2E2D"/>
    <w:rsid w:val="006E480F"/>
    <w:rsid w:val="006E5E12"/>
    <w:rsid w:val="006E64A4"/>
    <w:rsid w:val="006E709B"/>
    <w:rsid w:val="006E7D9D"/>
    <w:rsid w:val="006F1144"/>
    <w:rsid w:val="006F2BC9"/>
    <w:rsid w:val="006F51AB"/>
    <w:rsid w:val="006F5764"/>
    <w:rsid w:val="006F5B24"/>
    <w:rsid w:val="006F7568"/>
    <w:rsid w:val="00702AB1"/>
    <w:rsid w:val="0070395F"/>
    <w:rsid w:val="007107FD"/>
    <w:rsid w:val="007123B4"/>
    <w:rsid w:val="00715AE5"/>
    <w:rsid w:val="007201B1"/>
    <w:rsid w:val="00721EA6"/>
    <w:rsid w:val="00722538"/>
    <w:rsid w:val="00723E59"/>
    <w:rsid w:val="00723F4A"/>
    <w:rsid w:val="007249E0"/>
    <w:rsid w:val="00724BDE"/>
    <w:rsid w:val="00725C0F"/>
    <w:rsid w:val="007269B2"/>
    <w:rsid w:val="00731FA1"/>
    <w:rsid w:val="00733733"/>
    <w:rsid w:val="00735893"/>
    <w:rsid w:val="007365B0"/>
    <w:rsid w:val="00736786"/>
    <w:rsid w:val="0074182D"/>
    <w:rsid w:val="00741D46"/>
    <w:rsid w:val="00742A6E"/>
    <w:rsid w:val="0074640A"/>
    <w:rsid w:val="00751D3B"/>
    <w:rsid w:val="00753F06"/>
    <w:rsid w:val="00754E08"/>
    <w:rsid w:val="00755263"/>
    <w:rsid w:val="00757610"/>
    <w:rsid w:val="00763CE7"/>
    <w:rsid w:val="00763FC4"/>
    <w:rsid w:val="0076424E"/>
    <w:rsid w:val="00764DD7"/>
    <w:rsid w:val="00766B60"/>
    <w:rsid w:val="007705A0"/>
    <w:rsid w:val="0077355C"/>
    <w:rsid w:val="0077722F"/>
    <w:rsid w:val="007819CE"/>
    <w:rsid w:val="007834E1"/>
    <w:rsid w:val="00783970"/>
    <w:rsid w:val="007841A1"/>
    <w:rsid w:val="0078451A"/>
    <w:rsid w:val="0078783E"/>
    <w:rsid w:val="007904DA"/>
    <w:rsid w:val="007915B9"/>
    <w:rsid w:val="00793798"/>
    <w:rsid w:val="00796F38"/>
    <w:rsid w:val="007A1610"/>
    <w:rsid w:val="007A28DC"/>
    <w:rsid w:val="007A30EC"/>
    <w:rsid w:val="007A3B46"/>
    <w:rsid w:val="007A5326"/>
    <w:rsid w:val="007A6601"/>
    <w:rsid w:val="007A6974"/>
    <w:rsid w:val="007A6C76"/>
    <w:rsid w:val="007A7AD9"/>
    <w:rsid w:val="007A7CF0"/>
    <w:rsid w:val="007B2897"/>
    <w:rsid w:val="007B373F"/>
    <w:rsid w:val="007B3D98"/>
    <w:rsid w:val="007B68B6"/>
    <w:rsid w:val="007C2513"/>
    <w:rsid w:val="007C4A63"/>
    <w:rsid w:val="007C5082"/>
    <w:rsid w:val="007D04EA"/>
    <w:rsid w:val="007D0536"/>
    <w:rsid w:val="007D69C9"/>
    <w:rsid w:val="007E0767"/>
    <w:rsid w:val="007E0B0A"/>
    <w:rsid w:val="007E155B"/>
    <w:rsid w:val="007E20BA"/>
    <w:rsid w:val="007E333A"/>
    <w:rsid w:val="007E388E"/>
    <w:rsid w:val="007E6610"/>
    <w:rsid w:val="007E7694"/>
    <w:rsid w:val="007E7AC0"/>
    <w:rsid w:val="007F1868"/>
    <w:rsid w:val="007F1A8C"/>
    <w:rsid w:val="007F23E6"/>
    <w:rsid w:val="007F4127"/>
    <w:rsid w:val="007F6710"/>
    <w:rsid w:val="007F7072"/>
    <w:rsid w:val="00800BB6"/>
    <w:rsid w:val="00801797"/>
    <w:rsid w:val="00806936"/>
    <w:rsid w:val="00806C60"/>
    <w:rsid w:val="00807190"/>
    <w:rsid w:val="008076A3"/>
    <w:rsid w:val="0081021E"/>
    <w:rsid w:val="00814A92"/>
    <w:rsid w:val="00817283"/>
    <w:rsid w:val="00820652"/>
    <w:rsid w:val="00823853"/>
    <w:rsid w:val="008261B8"/>
    <w:rsid w:val="00827020"/>
    <w:rsid w:val="00832BE9"/>
    <w:rsid w:val="008332DE"/>
    <w:rsid w:val="00835ADF"/>
    <w:rsid w:val="008371F4"/>
    <w:rsid w:val="00837D1A"/>
    <w:rsid w:val="00837ED0"/>
    <w:rsid w:val="00840B42"/>
    <w:rsid w:val="008425BA"/>
    <w:rsid w:val="00844A77"/>
    <w:rsid w:val="008463BC"/>
    <w:rsid w:val="008508EB"/>
    <w:rsid w:val="00850ACF"/>
    <w:rsid w:val="008520CE"/>
    <w:rsid w:val="008543E0"/>
    <w:rsid w:val="008563E1"/>
    <w:rsid w:val="0085768C"/>
    <w:rsid w:val="00861E88"/>
    <w:rsid w:val="00863C61"/>
    <w:rsid w:val="00863E10"/>
    <w:rsid w:val="008655C8"/>
    <w:rsid w:val="00866FDE"/>
    <w:rsid w:val="00870D03"/>
    <w:rsid w:val="00870EDC"/>
    <w:rsid w:val="00871623"/>
    <w:rsid w:val="00872E2E"/>
    <w:rsid w:val="00872F2D"/>
    <w:rsid w:val="00875289"/>
    <w:rsid w:val="00881969"/>
    <w:rsid w:val="0088212F"/>
    <w:rsid w:val="00882F55"/>
    <w:rsid w:val="00885883"/>
    <w:rsid w:val="008867F1"/>
    <w:rsid w:val="008871FB"/>
    <w:rsid w:val="008876F2"/>
    <w:rsid w:val="008925C9"/>
    <w:rsid w:val="0089288B"/>
    <w:rsid w:val="00895F5A"/>
    <w:rsid w:val="00897101"/>
    <w:rsid w:val="008A190B"/>
    <w:rsid w:val="008A1D31"/>
    <w:rsid w:val="008A25DE"/>
    <w:rsid w:val="008A3102"/>
    <w:rsid w:val="008A4B42"/>
    <w:rsid w:val="008A6294"/>
    <w:rsid w:val="008B0151"/>
    <w:rsid w:val="008B13B6"/>
    <w:rsid w:val="008B15D5"/>
    <w:rsid w:val="008B1ABA"/>
    <w:rsid w:val="008B22C2"/>
    <w:rsid w:val="008B253F"/>
    <w:rsid w:val="008B6D27"/>
    <w:rsid w:val="008C1968"/>
    <w:rsid w:val="008C1E06"/>
    <w:rsid w:val="008C23E2"/>
    <w:rsid w:val="008C2606"/>
    <w:rsid w:val="008C3F4C"/>
    <w:rsid w:val="008C56E4"/>
    <w:rsid w:val="008C7BDE"/>
    <w:rsid w:val="008D0BE4"/>
    <w:rsid w:val="008D1F22"/>
    <w:rsid w:val="008D2821"/>
    <w:rsid w:val="008D2B1F"/>
    <w:rsid w:val="008D2BCA"/>
    <w:rsid w:val="008D2DED"/>
    <w:rsid w:val="008D4F5A"/>
    <w:rsid w:val="008E3456"/>
    <w:rsid w:val="008E3D5F"/>
    <w:rsid w:val="008E497B"/>
    <w:rsid w:val="008E4B69"/>
    <w:rsid w:val="008E5A4B"/>
    <w:rsid w:val="008E5DF0"/>
    <w:rsid w:val="008E6562"/>
    <w:rsid w:val="008E78C4"/>
    <w:rsid w:val="008F564C"/>
    <w:rsid w:val="008F6B00"/>
    <w:rsid w:val="00901B35"/>
    <w:rsid w:val="00901C45"/>
    <w:rsid w:val="00910CE0"/>
    <w:rsid w:val="009121A2"/>
    <w:rsid w:val="009140EB"/>
    <w:rsid w:val="009203D9"/>
    <w:rsid w:val="0092150C"/>
    <w:rsid w:val="00922D11"/>
    <w:rsid w:val="00923F12"/>
    <w:rsid w:val="0092794C"/>
    <w:rsid w:val="00927D38"/>
    <w:rsid w:val="0093022F"/>
    <w:rsid w:val="00933AC2"/>
    <w:rsid w:val="00934F31"/>
    <w:rsid w:val="00936119"/>
    <w:rsid w:val="00940710"/>
    <w:rsid w:val="00945B79"/>
    <w:rsid w:val="00946894"/>
    <w:rsid w:val="009468F0"/>
    <w:rsid w:val="009477F6"/>
    <w:rsid w:val="009508E7"/>
    <w:rsid w:val="00951C05"/>
    <w:rsid w:val="009549FC"/>
    <w:rsid w:val="009556EF"/>
    <w:rsid w:val="009559F5"/>
    <w:rsid w:val="00956A7E"/>
    <w:rsid w:val="00957535"/>
    <w:rsid w:val="00961C93"/>
    <w:rsid w:val="00965C0C"/>
    <w:rsid w:val="00966AD6"/>
    <w:rsid w:val="00971BD6"/>
    <w:rsid w:val="00974CBE"/>
    <w:rsid w:val="00976CEE"/>
    <w:rsid w:val="009836E6"/>
    <w:rsid w:val="00984AEA"/>
    <w:rsid w:val="0098509E"/>
    <w:rsid w:val="009852EE"/>
    <w:rsid w:val="00985DC1"/>
    <w:rsid w:val="00990661"/>
    <w:rsid w:val="00991533"/>
    <w:rsid w:val="0099274E"/>
    <w:rsid w:val="009A03C9"/>
    <w:rsid w:val="009A0CD3"/>
    <w:rsid w:val="009A25BB"/>
    <w:rsid w:val="009A58CA"/>
    <w:rsid w:val="009A5CB8"/>
    <w:rsid w:val="009B0483"/>
    <w:rsid w:val="009B1A79"/>
    <w:rsid w:val="009B4932"/>
    <w:rsid w:val="009B4C8F"/>
    <w:rsid w:val="009C0069"/>
    <w:rsid w:val="009C0465"/>
    <w:rsid w:val="009C1686"/>
    <w:rsid w:val="009C2E30"/>
    <w:rsid w:val="009C3328"/>
    <w:rsid w:val="009C4072"/>
    <w:rsid w:val="009C4BD2"/>
    <w:rsid w:val="009D0000"/>
    <w:rsid w:val="009D282A"/>
    <w:rsid w:val="009D5228"/>
    <w:rsid w:val="009D56C3"/>
    <w:rsid w:val="009D56D5"/>
    <w:rsid w:val="009D582B"/>
    <w:rsid w:val="009D5D63"/>
    <w:rsid w:val="009D637B"/>
    <w:rsid w:val="009D7CFC"/>
    <w:rsid w:val="009E04BC"/>
    <w:rsid w:val="009E1F21"/>
    <w:rsid w:val="009E2CEC"/>
    <w:rsid w:val="009E2E8E"/>
    <w:rsid w:val="009F082B"/>
    <w:rsid w:val="009F1312"/>
    <w:rsid w:val="009F328A"/>
    <w:rsid w:val="009F3CB5"/>
    <w:rsid w:val="00A0034B"/>
    <w:rsid w:val="00A00948"/>
    <w:rsid w:val="00A01D9F"/>
    <w:rsid w:val="00A02D8E"/>
    <w:rsid w:val="00A04B09"/>
    <w:rsid w:val="00A10CE1"/>
    <w:rsid w:val="00A10E71"/>
    <w:rsid w:val="00A123B6"/>
    <w:rsid w:val="00A12995"/>
    <w:rsid w:val="00A1418A"/>
    <w:rsid w:val="00A168B4"/>
    <w:rsid w:val="00A17764"/>
    <w:rsid w:val="00A2015B"/>
    <w:rsid w:val="00A20D71"/>
    <w:rsid w:val="00A23831"/>
    <w:rsid w:val="00A331E2"/>
    <w:rsid w:val="00A3400F"/>
    <w:rsid w:val="00A34126"/>
    <w:rsid w:val="00A344D9"/>
    <w:rsid w:val="00A34AE0"/>
    <w:rsid w:val="00A34C01"/>
    <w:rsid w:val="00A3770D"/>
    <w:rsid w:val="00A37896"/>
    <w:rsid w:val="00A417EB"/>
    <w:rsid w:val="00A43E2E"/>
    <w:rsid w:val="00A44A32"/>
    <w:rsid w:val="00A47541"/>
    <w:rsid w:val="00A47C27"/>
    <w:rsid w:val="00A47FAE"/>
    <w:rsid w:val="00A53CF6"/>
    <w:rsid w:val="00A56DA7"/>
    <w:rsid w:val="00A624FC"/>
    <w:rsid w:val="00A6320B"/>
    <w:rsid w:val="00A64B9F"/>
    <w:rsid w:val="00A655E1"/>
    <w:rsid w:val="00A66659"/>
    <w:rsid w:val="00A66DEF"/>
    <w:rsid w:val="00A6788E"/>
    <w:rsid w:val="00A71039"/>
    <w:rsid w:val="00A725A6"/>
    <w:rsid w:val="00A72B26"/>
    <w:rsid w:val="00A72E2D"/>
    <w:rsid w:val="00A744EF"/>
    <w:rsid w:val="00A7528C"/>
    <w:rsid w:val="00A760E3"/>
    <w:rsid w:val="00A76A06"/>
    <w:rsid w:val="00A76C55"/>
    <w:rsid w:val="00A76F8A"/>
    <w:rsid w:val="00A770FC"/>
    <w:rsid w:val="00A812E0"/>
    <w:rsid w:val="00A81812"/>
    <w:rsid w:val="00A81DC4"/>
    <w:rsid w:val="00A83E9B"/>
    <w:rsid w:val="00A83FE4"/>
    <w:rsid w:val="00A84074"/>
    <w:rsid w:val="00A8783D"/>
    <w:rsid w:val="00A940C1"/>
    <w:rsid w:val="00A94596"/>
    <w:rsid w:val="00A94A6E"/>
    <w:rsid w:val="00A94AF8"/>
    <w:rsid w:val="00A94D3E"/>
    <w:rsid w:val="00A972F6"/>
    <w:rsid w:val="00AA117B"/>
    <w:rsid w:val="00AA26C8"/>
    <w:rsid w:val="00AA6215"/>
    <w:rsid w:val="00AA6BDE"/>
    <w:rsid w:val="00AB008E"/>
    <w:rsid w:val="00AB0232"/>
    <w:rsid w:val="00AB1169"/>
    <w:rsid w:val="00AB182A"/>
    <w:rsid w:val="00AB33A6"/>
    <w:rsid w:val="00AB4E9E"/>
    <w:rsid w:val="00AC146B"/>
    <w:rsid w:val="00AC2087"/>
    <w:rsid w:val="00AC216B"/>
    <w:rsid w:val="00AC27D6"/>
    <w:rsid w:val="00AC69C4"/>
    <w:rsid w:val="00AD0AF5"/>
    <w:rsid w:val="00AD1BD1"/>
    <w:rsid w:val="00AD25D3"/>
    <w:rsid w:val="00AD4A77"/>
    <w:rsid w:val="00AD5C1A"/>
    <w:rsid w:val="00AD5EF0"/>
    <w:rsid w:val="00AD6DCD"/>
    <w:rsid w:val="00AE02F5"/>
    <w:rsid w:val="00AE08AC"/>
    <w:rsid w:val="00AE4653"/>
    <w:rsid w:val="00AE6970"/>
    <w:rsid w:val="00AF1105"/>
    <w:rsid w:val="00AF2236"/>
    <w:rsid w:val="00AF3084"/>
    <w:rsid w:val="00AF5C75"/>
    <w:rsid w:val="00AF72BD"/>
    <w:rsid w:val="00AF7CFB"/>
    <w:rsid w:val="00B02060"/>
    <w:rsid w:val="00B02C41"/>
    <w:rsid w:val="00B05631"/>
    <w:rsid w:val="00B073E9"/>
    <w:rsid w:val="00B07D07"/>
    <w:rsid w:val="00B11C72"/>
    <w:rsid w:val="00B13A6C"/>
    <w:rsid w:val="00B16D12"/>
    <w:rsid w:val="00B17765"/>
    <w:rsid w:val="00B17A67"/>
    <w:rsid w:val="00B21300"/>
    <w:rsid w:val="00B23387"/>
    <w:rsid w:val="00B2425D"/>
    <w:rsid w:val="00B24852"/>
    <w:rsid w:val="00B2488C"/>
    <w:rsid w:val="00B25CDC"/>
    <w:rsid w:val="00B26BF0"/>
    <w:rsid w:val="00B26DCC"/>
    <w:rsid w:val="00B3123D"/>
    <w:rsid w:val="00B3263B"/>
    <w:rsid w:val="00B32745"/>
    <w:rsid w:val="00B3379E"/>
    <w:rsid w:val="00B343DA"/>
    <w:rsid w:val="00B359CD"/>
    <w:rsid w:val="00B36399"/>
    <w:rsid w:val="00B37659"/>
    <w:rsid w:val="00B402D3"/>
    <w:rsid w:val="00B42341"/>
    <w:rsid w:val="00B4278A"/>
    <w:rsid w:val="00B42C49"/>
    <w:rsid w:val="00B43291"/>
    <w:rsid w:val="00B4391A"/>
    <w:rsid w:val="00B4449C"/>
    <w:rsid w:val="00B50241"/>
    <w:rsid w:val="00B537D2"/>
    <w:rsid w:val="00B57E73"/>
    <w:rsid w:val="00B6038F"/>
    <w:rsid w:val="00B64A0A"/>
    <w:rsid w:val="00B66BCA"/>
    <w:rsid w:val="00B702D6"/>
    <w:rsid w:val="00B7045B"/>
    <w:rsid w:val="00B70653"/>
    <w:rsid w:val="00B708F8"/>
    <w:rsid w:val="00B721AD"/>
    <w:rsid w:val="00B76AC4"/>
    <w:rsid w:val="00B80422"/>
    <w:rsid w:val="00B80D36"/>
    <w:rsid w:val="00B80E61"/>
    <w:rsid w:val="00B8333E"/>
    <w:rsid w:val="00B833AF"/>
    <w:rsid w:val="00B83F33"/>
    <w:rsid w:val="00B84A6A"/>
    <w:rsid w:val="00B84CBA"/>
    <w:rsid w:val="00B85304"/>
    <w:rsid w:val="00B9343D"/>
    <w:rsid w:val="00B93641"/>
    <w:rsid w:val="00B9781B"/>
    <w:rsid w:val="00BA0394"/>
    <w:rsid w:val="00BA0954"/>
    <w:rsid w:val="00BA4212"/>
    <w:rsid w:val="00BA5645"/>
    <w:rsid w:val="00BA64D7"/>
    <w:rsid w:val="00BA794A"/>
    <w:rsid w:val="00BA7E2C"/>
    <w:rsid w:val="00BB16FD"/>
    <w:rsid w:val="00BB3C5A"/>
    <w:rsid w:val="00BB489B"/>
    <w:rsid w:val="00BB5E99"/>
    <w:rsid w:val="00BB6D68"/>
    <w:rsid w:val="00BB7229"/>
    <w:rsid w:val="00BB74E2"/>
    <w:rsid w:val="00BC0FDA"/>
    <w:rsid w:val="00BC142A"/>
    <w:rsid w:val="00BC48F2"/>
    <w:rsid w:val="00BC6E14"/>
    <w:rsid w:val="00BD0C39"/>
    <w:rsid w:val="00BD1D61"/>
    <w:rsid w:val="00BD34A9"/>
    <w:rsid w:val="00BD3999"/>
    <w:rsid w:val="00BD4FB7"/>
    <w:rsid w:val="00BD6032"/>
    <w:rsid w:val="00BD6816"/>
    <w:rsid w:val="00BD6ABC"/>
    <w:rsid w:val="00BD774C"/>
    <w:rsid w:val="00BD7938"/>
    <w:rsid w:val="00BE00DD"/>
    <w:rsid w:val="00BE07D9"/>
    <w:rsid w:val="00BE0CCC"/>
    <w:rsid w:val="00BE1BE1"/>
    <w:rsid w:val="00BE211D"/>
    <w:rsid w:val="00BE30D8"/>
    <w:rsid w:val="00BE39AE"/>
    <w:rsid w:val="00BE48E0"/>
    <w:rsid w:val="00BE7144"/>
    <w:rsid w:val="00BE72E7"/>
    <w:rsid w:val="00BE7E2B"/>
    <w:rsid w:val="00BF073B"/>
    <w:rsid w:val="00BF137E"/>
    <w:rsid w:val="00BF3CCB"/>
    <w:rsid w:val="00BF6657"/>
    <w:rsid w:val="00C02665"/>
    <w:rsid w:val="00C026FE"/>
    <w:rsid w:val="00C02E75"/>
    <w:rsid w:val="00C03A6B"/>
    <w:rsid w:val="00C064BC"/>
    <w:rsid w:val="00C0798C"/>
    <w:rsid w:val="00C14CD1"/>
    <w:rsid w:val="00C15968"/>
    <w:rsid w:val="00C162F5"/>
    <w:rsid w:val="00C16DC7"/>
    <w:rsid w:val="00C17219"/>
    <w:rsid w:val="00C175E8"/>
    <w:rsid w:val="00C17D83"/>
    <w:rsid w:val="00C21240"/>
    <w:rsid w:val="00C21614"/>
    <w:rsid w:val="00C231E3"/>
    <w:rsid w:val="00C26743"/>
    <w:rsid w:val="00C26D57"/>
    <w:rsid w:val="00C27E39"/>
    <w:rsid w:val="00C30685"/>
    <w:rsid w:val="00C30A48"/>
    <w:rsid w:val="00C34E7B"/>
    <w:rsid w:val="00C34F9B"/>
    <w:rsid w:val="00C35DB2"/>
    <w:rsid w:val="00C405DF"/>
    <w:rsid w:val="00C4125C"/>
    <w:rsid w:val="00C43396"/>
    <w:rsid w:val="00C5028F"/>
    <w:rsid w:val="00C5091F"/>
    <w:rsid w:val="00C514EB"/>
    <w:rsid w:val="00C52596"/>
    <w:rsid w:val="00C54D13"/>
    <w:rsid w:val="00C57E0A"/>
    <w:rsid w:val="00C60D51"/>
    <w:rsid w:val="00C61873"/>
    <w:rsid w:val="00C61BEB"/>
    <w:rsid w:val="00C6264F"/>
    <w:rsid w:val="00C73818"/>
    <w:rsid w:val="00C73CC0"/>
    <w:rsid w:val="00C75310"/>
    <w:rsid w:val="00C76CB6"/>
    <w:rsid w:val="00C815CF"/>
    <w:rsid w:val="00C81753"/>
    <w:rsid w:val="00C81E33"/>
    <w:rsid w:val="00C825EF"/>
    <w:rsid w:val="00C828DA"/>
    <w:rsid w:val="00C86223"/>
    <w:rsid w:val="00C866F6"/>
    <w:rsid w:val="00C94EDE"/>
    <w:rsid w:val="00C9507D"/>
    <w:rsid w:val="00C96071"/>
    <w:rsid w:val="00C96D24"/>
    <w:rsid w:val="00CA0C0A"/>
    <w:rsid w:val="00CA0D4B"/>
    <w:rsid w:val="00CA1CCA"/>
    <w:rsid w:val="00CA1D13"/>
    <w:rsid w:val="00CA2348"/>
    <w:rsid w:val="00CA3F67"/>
    <w:rsid w:val="00CA4AE1"/>
    <w:rsid w:val="00CA5B38"/>
    <w:rsid w:val="00CA7710"/>
    <w:rsid w:val="00CB1C28"/>
    <w:rsid w:val="00CB33A0"/>
    <w:rsid w:val="00CB3A96"/>
    <w:rsid w:val="00CB7A43"/>
    <w:rsid w:val="00CC0779"/>
    <w:rsid w:val="00CC2DF0"/>
    <w:rsid w:val="00CC37A5"/>
    <w:rsid w:val="00CC3E40"/>
    <w:rsid w:val="00CC5838"/>
    <w:rsid w:val="00CC67BA"/>
    <w:rsid w:val="00CC706D"/>
    <w:rsid w:val="00CC777D"/>
    <w:rsid w:val="00CD075A"/>
    <w:rsid w:val="00CD3289"/>
    <w:rsid w:val="00CD405A"/>
    <w:rsid w:val="00CD4723"/>
    <w:rsid w:val="00CD77F9"/>
    <w:rsid w:val="00CE0E6D"/>
    <w:rsid w:val="00CE1CCC"/>
    <w:rsid w:val="00CE4B06"/>
    <w:rsid w:val="00CE694A"/>
    <w:rsid w:val="00CE7144"/>
    <w:rsid w:val="00CF7CCB"/>
    <w:rsid w:val="00D024FA"/>
    <w:rsid w:val="00D045DB"/>
    <w:rsid w:val="00D051FC"/>
    <w:rsid w:val="00D142E8"/>
    <w:rsid w:val="00D1552E"/>
    <w:rsid w:val="00D231B2"/>
    <w:rsid w:val="00D23881"/>
    <w:rsid w:val="00D2638E"/>
    <w:rsid w:val="00D264F1"/>
    <w:rsid w:val="00D26C0B"/>
    <w:rsid w:val="00D27B82"/>
    <w:rsid w:val="00D27FEB"/>
    <w:rsid w:val="00D30831"/>
    <w:rsid w:val="00D3622B"/>
    <w:rsid w:val="00D4108A"/>
    <w:rsid w:val="00D411D0"/>
    <w:rsid w:val="00D42B53"/>
    <w:rsid w:val="00D501E5"/>
    <w:rsid w:val="00D51D23"/>
    <w:rsid w:val="00D54A9B"/>
    <w:rsid w:val="00D55FB3"/>
    <w:rsid w:val="00D57019"/>
    <w:rsid w:val="00D57623"/>
    <w:rsid w:val="00D607D1"/>
    <w:rsid w:val="00D61FF6"/>
    <w:rsid w:val="00D6210E"/>
    <w:rsid w:val="00D631AE"/>
    <w:rsid w:val="00D64C0A"/>
    <w:rsid w:val="00D656D6"/>
    <w:rsid w:val="00D65D41"/>
    <w:rsid w:val="00D71107"/>
    <w:rsid w:val="00D72B5E"/>
    <w:rsid w:val="00D7370E"/>
    <w:rsid w:val="00D741D2"/>
    <w:rsid w:val="00D75246"/>
    <w:rsid w:val="00D7655D"/>
    <w:rsid w:val="00D82BE9"/>
    <w:rsid w:val="00D839E1"/>
    <w:rsid w:val="00D839F0"/>
    <w:rsid w:val="00D84D90"/>
    <w:rsid w:val="00D85CB7"/>
    <w:rsid w:val="00D86750"/>
    <w:rsid w:val="00D9049F"/>
    <w:rsid w:val="00D9249C"/>
    <w:rsid w:val="00D93DEF"/>
    <w:rsid w:val="00D9452A"/>
    <w:rsid w:val="00D957DE"/>
    <w:rsid w:val="00DA0EE2"/>
    <w:rsid w:val="00DA29CC"/>
    <w:rsid w:val="00DA2ED8"/>
    <w:rsid w:val="00DA30DA"/>
    <w:rsid w:val="00DA3A24"/>
    <w:rsid w:val="00DA3E4E"/>
    <w:rsid w:val="00DA6688"/>
    <w:rsid w:val="00DA6822"/>
    <w:rsid w:val="00DA72D3"/>
    <w:rsid w:val="00DA7438"/>
    <w:rsid w:val="00DA7D0F"/>
    <w:rsid w:val="00DB264D"/>
    <w:rsid w:val="00DB29C9"/>
    <w:rsid w:val="00DB2DD4"/>
    <w:rsid w:val="00DB6419"/>
    <w:rsid w:val="00DC0E9F"/>
    <w:rsid w:val="00DC1CC9"/>
    <w:rsid w:val="00DC4BF0"/>
    <w:rsid w:val="00DC6A79"/>
    <w:rsid w:val="00DC7104"/>
    <w:rsid w:val="00DC7FF1"/>
    <w:rsid w:val="00DD2EDE"/>
    <w:rsid w:val="00DD3CFE"/>
    <w:rsid w:val="00DD412F"/>
    <w:rsid w:val="00DD4843"/>
    <w:rsid w:val="00DD716D"/>
    <w:rsid w:val="00DE0A49"/>
    <w:rsid w:val="00DE392E"/>
    <w:rsid w:val="00DE7D5C"/>
    <w:rsid w:val="00DF0C3B"/>
    <w:rsid w:val="00DF0DBD"/>
    <w:rsid w:val="00E00F5B"/>
    <w:rsid w:val="00E0169A"/>
    <w:rsid w:val="00E03860"/>
    <w:rsid w:val="00E078C2"/>
    <w:rsid w:val="00E114DD"/>
    <w:rsid w:val="00E11C70"/>
    <w:rsid w:val="00E15E03"/>
    <w:rsid w:val="00E20CB5"/>
    <w:rsid w:val="00E2300B"/>
    <w:rsid w:val="00E25A24"/>
    <w:rsid w:val="00E25E69"/>
    <w:rsid w:val="00E2617D"/>
    <w:rsid w:val="00E270DE"/>
    <w:rsid w:val="00E30232"/>
    <w:rsid w:val="00E3025A"/>
    <w:rsid w:val="00E30B24"/>
    <w:rsid w:val="00E31F72"/>
    <w:rsid w:val="00E3526A"/>
    <w:rsid w:val="00E4108A"/>
    <w:rsid w:val="00E41185"/>
    <w:rsid w:val="00E41E81"/>
    <w:rsid w:val="00E439D2"/>
    <w:rsid w:val="00E4504F"/>
    <w:rsid w:val="00E47EC4"/>
    <w:rsid w:val="00E509BE"/>
    <w:rsid w:val="00E5498D"/>
    <w:rsid w:val="00E5549C"/>
    <w:rsid w:val="00E55CAC"/>
    <w:rsid w:val="00E6636E"/>
    <w:rsid w:val="00E67088"/>
    <w:rsid w:val="00E672D6"/>
    <w:rsid w:val="00E6762F"/>
    <w:rsid w:val="00E70F19"/>
    <w:rsid w:val="00E72D88"/>
    <w:rsid w:val="00E75092"/>
    <w:rsid w:val="00E75588"/>
    <w:rsid w:val="00E75B61"/>
    <w:rsid w:val="00E77DD7"/>
    <w:rsid w:val="00E818F2"/>
    <w:rsid w:val="00E82156"/>
    <w:rsid w:val="00E8462F"/>
    <w:rsid w:val="00E84E11"/>
    <w:rsid w:val="00E877F1"/>
    <w:rsid w:val="00E90228"/>
    <w:rsid w:val="00E91F4C"/>
    <w:rsid w:val="00E921F4"/>
    <w:rsid w:val="00E9252B"/>
    <w:rsid w:val="00E94103"/>
    <w:rsid w:val="00E95D09"/>
    <w:rsid w:val="00E97A63"/>
    <w:rsid w:val="00EA1F93"/>
    <w:rsid w:val="00EA4AEA"/>
    <w:rsid w:val="00EA5772"/>
    <w:rsid w:val="00EA57F3"/>
    <w:rsid w:val="00EA7AB0"/>
    <w:rsid w:val="00EB2C43"/>
    <w:rsid w:val="00EB394B"/>
    <w:rsid w:val="00EB4C1C"/>
    <w:rsid w:val="00EB566E"/>
    <w:rsid w:val="00EB5798"/>
    <w:rsid w:val="00EB78E5"/>
    <w:rsid w:val="00EC380E"/>
    <w:rsid w:val="00EC49A9"/>
    <w:rsid w:val="00EC52AF"/>
    <w:rsid w:val="00EC68EB"/>
    <w:rsid w:val="00EC7F8F"/>
    <w:rsid w:val="00ED1380"/>
    <w:rsid w:val="00ED6D21"/>
    <w:rsid w:val="00ED707C"/>
    <w:rsid w:val="00EE1342"/>
    <w:rsid w:val="00EE179F"/>
    <w:rsid w:val="00EE2264"/>
    <w:rsid w:val="00EE4003"/>
    <w:rsid w:val="00EE6754"/>
    <w:rsid w:val="00EE6B0F"/>
    <w:rsid w:val="00EE734B"/>
    <w:rsid w:val="00EE7961"/>
    <w:rsid w:val="00EF3948"/>
    <w:rsid w:val="00EF658A"/>
    <w:rsid w:val="00EF67C7"/>
    <w:rsid w:val="00F0081D"/>
    <w:rsid w:val="00F0297F"/>
    <w:rsid w:val="00F05D38"/>
    <w:rsid w:val="00F06D72"/>
    <w:rsid w:val="00F07F49"/>
    <w:rsid w:val="00F11504"/>
    <w:rsid w:val="00F12E30"/>
    <w:rsid w:val="00F14902"/>
    <w:rsid w:val="00F15175"/>
    <w:rsid w:val="00F158A6"/>
    <w:rsid w:val="00F15CE1"/>
    <w:rsid w:val="00F2128A"/>
    <w:rsid w:val="00F227DA"/>
    <w:rsid w:val="00F22B69"/>
    <w:rsid w:val="00F23683"/>
    <w:rsid w:val="00F263E6"/>
    <w:rsid w:val="00F32F46"/>
    <w:rsid w:val="00F348E0"/>
    <w:rsid w:val="00F34E52"/>
    <w:rsid w:val="00F3550C"/>
    <w:rsid w:val="00F378F9"/>
    <w:rsid w:val="00F37BC8"/>
    <w:rsid w:val="00F416C7"/>
    <w:rsid w:val="00F42FB8"/>
    <w:rsid w:val="00F44257"/>
    <w:rsid w:val="00F4585D"/>
    <w:rsid w:val="00F50A43"/>
    <w:rsid w:val="00F52134"/>
    <w:rsid w:val="00F53AF8"/>
    <w:rsid w:val="00F53FEF"/>
    <w:rsid w:val="00F5442D"/>
    <w:rsid w:val="00F552D9"/>
    <w:rsid w:val="00F5562E"/>
    <w:rsid w:val="00F604CE"/>
    <w:rsid w:val="00F6126E"/>
    <w:rsid w:val="00F61D0A"/>
    <w:rsid w:val="00F62C20"/>
    <w:rsid w:val="00F63028"/>
    <w:rsid w:val="00F64F77"/>
    <w:rsid w:val="00F651B8"/>
    <w:rsid w:val="00F65BF2"/>
    <w:rsid w:val="00F679D1"/>
    <w:rsid w:val="00F737EA"/>
    <w:rsid w:val="00F752AD"/>
    <w:rsid w:val="00F76956"/>
    <w:rsid w:val="00F77D4B"/>
    <w:rsid w:val="00F80604"/>
    <w:rsid w:val="00F82EB7"/>
    <w:rsid w:val="00F83518"/>
    <w:rsid w:val="00F851A0"/>
    <w:rsid w:val="00F853AB"/>
    <w:rsid w:val="00F85A36"/>
    <w:rsid w:val="00F863A4"/>
    <w:rsid w:val="00F86FB1"/>
    <w:rsid w:val="00F90623"/>
    <w:rsid w:val="00F90CB3"/>
    <w:rsid w:val="00F91FE5"/>
    <w:rsid w:val="00F96245"/>
    <w:rsid w:val="00F96246"/>
    <w:rsid w:val="00F96E6B"/>
    <w:rsid w:val="00F97119"/>
    <w:rsid w:val="00FA0433"/>
    <w:rsid w:val="00FA17E6"/>
    <w:rsid w:val="00FA1DA9"/>
    <w:rsid w:val="00FA5783"/>
    <w:rsid w:val="00FA5885"/>
    <w:rsid w:val="00FA66B8"/>
    <w:rsid w:val="00FB3221"/>
    <w:rsid w:val="00FB49A7"/>
    <w:rsid w:val="00FB525F"/>
    <w:rsid w:val="00FB5DB7"/>
    <w:rsid w:val="00FB6778"/>
    <w:rsid w:val="00FC0A7C"/>
    <w:rsid w:val="00FC16AB"/>
    <w:rsid w:val="00FC48F1"/>
    <w:rsid w:val="00FC6B4A"/>
    <w:rsid w:val="00FC750B"/>
    <w:rsid w:val="00FD1CFA"/>
    <w:rsid w:val="00FD22CC"/>
    <w:rsid w:val="00FD3C0F"/>
    <w:rsid w:val="00FD41F4"/>
    <w:rsid w:val="00FD4600"/>
    <w:rsid w:val="00FD4AE7"/>
    <w:rsid w:val="00FD5217"/>
    <w:rsid w:val="00FE0859"/>
    <w:rsid w:val="00FE0BBF"/>
    <w:rsid w:val="00FE37E3"/>
    <w:rsid w:val="00FE4AC3"/>
    <w:rsid w:val="00FE6782"/>
    <w:rsid w:val="00FE74D2"/>
    <w:rsid w:val="00FF32F7"/>
    <w:rsid w:val="00FF39E1"/>
    <w:rsid w:val="00FF42CA"/>
    <w:rsid w:val="00FF541F"/>
    <w:rsid w:val="00FF54E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7AEF9-7D80-4DC8-B2C5-B1A85C1A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54"/>
    <w:rPr>
      <w:sz w:val="24"/>
      <w:szCs w:val="24"/>
      <w:lang w:eastAsia="en-US"/>
    </w:rPr>
  </w:style>
  <w:style w:type="paragraph" w:styleId="Heading1">
    <w:name w:val="heading 1"/>
    <w:basedOn w:val="Normal"/>
    <w:next w:val="Normal"/>
    <w:link w:val="Heading1Char"/>
    <w:qFormat/>
    <w:rsid w:val="000E2DA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B0C6F"/>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5B0C6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0E2DA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04BC"/>
    <w:pPr>
      <w:autoSpaceDE w:val="0"/>
      <w:autoSpaceDN w:val="0"/>
      <w:adjustRightInd w:val="0"/>
      <w:jc w:val="both"/>
    </w:pPr>
    <w:rPr>
      <w:sz w:val="20"/>
    </w:rPr>
  </w:style>
  <w:style w:type="paragraph" w:styleId="Header">
    <w:name w:val="header"/>
    <w:basedOn w:val="Normal"/>
    <w:rsid w:val="009E04BC"/>
    <w:pPr>
      <w:tabs>
        <w:tab w:val="center" w:pos="4153"/>
        <w:tab w:val="right" w:pos="8306"/>
      </w:tabs>
    </w:pPr>
    <w:rPr>
      <w:rFonts w:ascii="RimTimes" w:hAnsi="RimTimes"/>
      <w:sz w:val="28"/>
      <w:szCs w:val="20"/>
      <w:lang w:val="lv-LV"/>
    </w:rPr>
  </w:style>
  <w:style w:type="character" w:customStyle="1" w:styleId="arial12negru1">
    <w:name w:val="arial12negru1"/>
    <w:rsid w:val="002F3DFA"/>
    <w:rPr>
      <w:rFonts w:ascii="Arial" w:hAnsi="Arial" w:cs="Arial" w:hint="default"/>
      <w:b w:val="0"/>
      <w:bCs w:val="0"/>
      <w:strike w:val="0"/>
      <w:dstrike w:val="0"/>
      <w:color w:val="000000"/>
      <w:sz w:val="19"/>
      <w:szCs w:val="19"/>
      <w:u w:val="none"/>
      <w:effect w:val="none"/>
    </w:rPr>
  </w:style>
  <w:style w:type="paragraph" w:styleId="NormalWeb">
    <w:name w:val="Normal (Web)"/>
    <w:basedOn w:val="Normal"/>
    <w:uiPriority w:val="99"/>
    <w:rsid w:val="00062BF8"/>
    <w:pPr>
      <w:spacing w:before="100" w:beforeAutospacing="1" w:after="100" w:afterAutospacing="1"/>
    </w:pPr>
    <w:rPr>
      <w:lang w:val="en-US"/>
    </w:rPr>
  </w:style>
  <w:style w:type="character" w:customStyle="1" w:styleId="style61">
    <w:name w:val="style61"/>
    <w:rsid w:val="00062BF8"/>
    <w:rPr>
      <w:color w:val="336699"/>
    </w:rPr>
  </w:style>
  <w:style w:type="character" w:styleId="Hyperlink">
    <w:name w:val="Hyperlink"/>
    <w:uiPriority w:val="99"/>
    <w:rsid w:val="00062BF8"/>
    <w:rPr>
      <w:color w:val="0000FF"/>
      <w:u w:val="single"/>
    </w:rPr>
  </w:style>
  <w:style w:type="paragraph" w:customStyle="1" w:styleId="CaracterCaracterCharCharCaracterCaracter">
    <w:name w:val="Caracter Caracter Char Char Caracter Caracter"/>
    <w:basedOn w:val="Normal"/>
    <w:rsid w:val="00233A2E"/>
    <w:pPr>
      <w:spacing w:after="160" w:line="240" w:lineRule="exact"/>
    </w:pPr>
    <w:rPr>
      <w:rFonts w:ascii="Tahoma" w:hAnsi="Tahoma"/>
      <w:sz w:val="20"/>
      <w:szCs w:val="20"/>
      <w:lang w:val="en-US"/>
    </w:rPr>
  </w:style>
  <w:style w:type="paragraph" w:styleId="BalloonText">
    <w:name w:val="Balloon Text"/>
    <w:basedOn w:val="Normal"/>
    <w:semiHidden/>
    <w:rsid w:val="00BA794A"/>
    <w:rPr>
      <w:rFonts w:ascii="Tahoma" w:hAnsi="Tahoma" w:cs="Tahoma"/>
      <w:sz w:val="16"/>
      <w:szCs w:val="16"/>
    </w:rPr>
  </w:style>
  <w:style w:type="table" w:styleId="TableGrid">
    <w:name w:val="Table Grid"/>
    <w:basedOn w:val="TableNormal"/>
    <w:uiPriority w:val="59"/>
    <w:rsid w:val="002C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F80604"/>
    <w:rPr>
      <w:lang w:val="pl-PL" w:eastAsia="pl-PL"/>
    </w:rPr>
  </w:style>
  <w:style w:type="paragraph" w:customStyle="1" w:styleId="CaracterCaracter">
    <w:name w:val="Caracter Caracter"/>
    <w:basedOn w:val="Normal"/>
    <w:rsid w:val="0062206F"/>
    <w:pPr>
      <w:spacing w:after="160" w:line="240" w:lineRule="exact"/>
    </w:pPr>
    <w:rPr>
      <w:rFonts w:ascii="Tahoma" w:hAnsi="Tahoma"/>
      <w:sz w:val="20"/>
      <w:szCs w:val="20"/>
      <w:lang w:val="en-US"/>
    </w:rPr>
  </w:style>
  <w:style w:type="character" w:styleId="Emphasis">
    <w:name w:val="Emphasis"/>
    <w:uiPriority w:val="20"/>
    <w:qFormat/>
    <w:rsid w:val="00B24852"/>
    <w:rPr>
      <w:i/>
      <w:iCs/>
    </w:rPr>
  </w:style>
  <w:style w:type="paragraph" w:styleId="HTMLPreformatted">
    <w:name w:val="HTML Preformatted"/>
    <w:basedOn w:val="Normal"/>
    <w:link w:val="HTMLPreformattedChar"/>
    <w:rsid w:val="0061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rsid w:val="00613945"/>
    <w:rPr>
      <w:rFonts w:ascii="Courier New" w:hAnsi="Courier New" w:cs="Courier New"/>
      <w:lang w:val="en-US" w:eastAsia="en-US"/>
    </w:rPr>
  </w:style>
  <w:style w:type="paragraph" w:customStyle="1" w:styleId="Default">
    <w:name w:val="Default"/>
    <w:rsid w:val="00250B1D"/>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3C35AD"/>
    <w:pPr>
      <w:spacing w:after="120" w:line="480" w:lineRule="auto"/>
      <w:ind w:left="283"/>
    </w:pPr>
  </w:style>
  <w:style w:type="character" w:customStyle="1" w:styleId="BodyTextIndent2Char">
    <w:name w:val="Body Text Indent 2 Char"/>
    <w:link w:val="BodyTextIndent2"/>
    <w:rsid w:val="003C35AD"/>
    <w:rPr>
      <w:sz w:val="24"/>
      <w:szCs w:val="24"/>
      <w:lang w:eastAsia="en-US"/>
    </w:rPr>
  </w:style>
  <w:style w:type="paragraph" w:customStyle="1" w:styleId="ParagraphNumbering">
    <w:name w:val="Paragraph Numbering"/>
    <w:basedOn w:val="Normal"/>
    <w:link w:val="ParagraphNumberingChar"/>
    <w:qFormat/>
    <w:rsid w:val="0089288B"/>
    <w:pPr>
      <w:numPr>
        <w:numId w:val="7"/>
      </w:numPr>
      <w:spacing w:after="240" w:line="264" w:lineRule="auto"/>
    </w:pPr>
    <w:rPr>
      <w:lang w:val="en-US"/>
    </w:rPr>
  </w:style>
  <w:style w:type="character" w:customStyle="1" w:styleId="ParagraphNumberingChar">
    <w:name w:val="Paragraph Numbering Char"/>
    <w:link w:val="ParagraphNumbering"/>
    <w:rsid w:val="0089288B"/>
    <w:rPr>
      <w:sz w:val="24"/>
      <w:szCs w:val="24"/>
      <w:lang w:val="en-US" w:eastAsia="en-US"/>
    </w:rPr>
  </w:style>
  <w:style w:type="character" w:customStyle="1" w:styleId="longtext1">
    <w:name w:val="long_text1"/>
    <w:rsid w:val="0089288B"/>
    <w:rPr>
      <w:sz w:val="20"/>
      <w:szCs w:val="20"/>
    </w:rPr>
  </w:style>
  <w:style w:type="character" w:customStyle="1" w:styleId="Heading2Char">
    <w:name w:val="Heading 2 Char"/>
    <w:link w:val="Heading2"/>
    <w:rsid w:val="005B0C6F"/>
    <w:rPr>
      <w:rFonts w:ascii="Cambria" w:hAnsi="Cambria"/>
      <w:b/>
      <w:bCs/>
      <w:i/>
      <w:iCs/>
      <w:sz w:val="28"/>
      <w:szCs w:val="28"/>
      <w:lang w:val="en-US" w:eastAsia="en-US"/>
    </w:rPr>
  </w:style>
  <w:style w:type="character" w:customStyle="1" w:styleId="Heading3Char">
    <w:name w:val="Heading 3 Char"/>
    <w:link w:val="Heading3"/>
    <w:rsid w:val="005B0C6F"/>
    <w:rPr>
      <w:rFonts w:ascii="Cambria" w:hAnsi="Cambria"/>
      <w:b/>
      <w:bCs/>
      <w:sz w:val="26"/>
      <w:szCs w:val="26"/>
      <w:lang w:val="en-US" w:eastAsia="en-US"/>
    </w:rPr>
  </w:style>
  <w:style w:type="paragraph" w:styleId="FootnoteText">
    <w:name w:val="footnote text"/>
    <w:aliases w:val="single space,FOOTNOTES,fn,Footnote Text qer,Fußnotentext Char,Footnote Text Char1,Footnote Text Char2 Char,Footnote Text Char1 Char Char,Footnote Text Char2 Char Char Char,Footnote Text Char1 Char Char Char Char,ft Char Char,f Cha"/>
    <w:basedOn w:val="Normal"/>
    <w:link w:val="FootnoteTextChar"/>
    <w:qFormat/>
    <w:rsid w:val="00530FF5"/>
    <w:rPr>
      <w:sz w:val="20"/>
      <w:szCs w:val="20"/>
      <w:lang w:val="en-US"/>
    </w:rPr>
  </w:style>
  <w:style w:type="character" w:customStyle="1" w:styleId="FootnoteTextChar">
    <w:name w:val="Footnote Text Char"/>
    <w:aliases w:val="single space Char,FOOTNOTES Char,fn Char,Footnote Text qer Char,Fußnotentext Char Char,Footnote Text Char1 Char,Footnote Text Char2 Char Char,Footnote Text Char1 Char Char Char,Footnote Text Char2 Char Char Char Char,ft Char Char Char"/>
    <w:link w:val="FootnoteText"/>
    <w:rsid w:val="00530FF5"/>
    <w:rPr>
      <w:lang w:val="en-US" w:eastAsia="en-US"/>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Fussnot"/>
    <w:qFormat/>
    <w:rsid w:val="00530FF5"/>
    <w:rPr>
      <w:vertAlign w:val="superscript"/>
    </w:rPr>
  </w:style>
  <w:style w:type="paragraph" w:customStyle="1" w:styleId="ListParagraph1">
    <w:name w:val="List Paragraph1"/>
    <w:aliases w:val="References,Numbered List Paragraph,Numbered Paragraph,Main numbered paragraph,Normal bullet 2,Outlines a.b.c.,Akapit z listą BS,List_Paragraph,Multilevel para_II,List Paragraph (numbered (a)),Numbered list,List Paragraph 1"/>
    <w:basedOn w:val="Normal"/>
    <w:link w:val="ListParagraphChar"/>
    <w:qFormat/>
    <w:rsid w:val="00235410"/>
    <w:pPr>
      <w:spacing w:after="200" w:line="276" w:lineRule="auto"/>
      <w:ind w:left="720"/>
      <w:jc w:val="both"/>
    </w:pPr>
    <w:rPr>
      <w:rFonts w:ascii="Calibri" w:eastAsia="Calibri" w:hAnsi="Calibri"/>
      <w:sz w:val="22"/>
      <w:szCs w:val="22"/>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1"/>
    <w:rsid w:val="00235410"/>
    <w:rPr>
      <w:rFonts w:ascii="Calibri" w:eastAsia="Calibri" w:hAnsi="Calibri"/>
      <w:sz w:val="22"/>
      <w:szCs w:val="22"/>
    </w:rPr>
  </w:style>
  <w:style w:type="paragraph" w:customStyle="1" w:styleId="DefaultStyle">
    <w:name w:val="Default Style"/>
    <w:rsid w:val="00BA5645"/>
    <w:pPr>
      <w:suppressAutoHyphens/>
      <w:spacing w:after="200" w:line="276" w:lineRule="auto"/>
      <w:jc w:val="both"/>
    </w:pPr>
    <w:rPr>
      <w:rFonts w:eastAsia="Droid Sans Fallback" w:cs="Calibri"/>
      <w:color w:val="00000A"/>
      <w:sz w:val="24"/>
      <w:szCs w:val="22"/>
      <w:lang w:val="en-US" w:eastAsia="en-US"/>
    </w:rPr>
  </w:style>
  <w:style w:type="character" w:customStyle="1" w:styleId="Heading1Char">
    <w:name w:val="Heading 1 Char"/>
    <w:link w:val="Heading1"/>
    <w:rsid w:val="000E2DA4"/>
    <w:rPr>
      <w:rFonts w:ascii="Calibri Light" w:eastAsia="Times New Roman" w:hAnsi="Calibri Light" w:cs="Times New Roman"/>
      <w:b/>
      <w:bCs/>
      <w:kern w:val="32"/>
      <w:sz w:val="32"/>
      <w:szCs w:val="32"/>
      <w:lang w:val="ro-RO"/>
    </w:rPr>
  </w:style>
  <w:style w:type="character" w:customStyle="1" w:styleId="Heading4Char">
    <w:name w:val="Heading 4 Char"/>
    <w:link w:val="Heading4"/>
    <w:semiHidden/>
    <w:rsid w:val="000E2DA4"/>
    <w:rPr>
      <w:rFonts w:ascii="Calibri" w:eastAsia="Times New Roman" w:hAnsi="Calibri" w:cs="Times New Roman"/>
      <w:b/>
      <w:bCs/>
      <w:sz w:val="28"/>
      <w:szCs w:val="28"/>
      <w:lang w:val="ro-RO"/>
    </w:rPr>
  </w:style>
  <w:style w:type="paragraph" w:styleId="Caption">
    <w:name w:val="caption"/>
    <w:basedOn w:val="Normal"/>
    <w:next w:val="Normal"/>
    <w:uiPriority w:val="35"/>
    <w:qFormat/>
    <w:rsid w:val="00105A27"/>
    <w:pPr>
      <w:spacing w:before="240" w:after="60" w:line="276" w:lineRule="auto"/>
      <w:jc w:val="center"/>
    </w:pPr>
    <w:rPr>
      <w:rFonts w:eastAsia="Calibri"/>
      <w:b/>
      <w:bCs/>
      <w:color w:val="000000"/>
      <w:sz w:val="22"/>
      <w:szCs w:val="18"/>
      <w:lang w:val="en-US"/>
    </w:rPr>
  </w:style>
  <w:style w:type="character" w:styleId="Strong">
    <w:name w:val="Strong"/>
    <w:basedOn w:val="DefaultParagraphFont"/>
    <w:uiPriority w:val="22"/>
    <w:qFormat/>
    <w:rsid w:val="009C4BD2"/>
    <w:rPr>
      <w:b/>
      <w:bCs/>
    </w:rPr>
  </w:style>
  <w:style w:type="character" w:customStyle="1" w:styleId="apple-converted-space">
    <w:name w:val="apple-converted-space"/>
    <w:basedOn w:val="DefaultParagraphFont"/>
    <w:rsid w:val="009C4BD2"/>
  </w:style>
  <w:style w:type="paragraph" w:customStyle="1" w:styleId="SingleTxt">
    <w:name w:val="__Single Txt"/>
    <w:basedOn w:val="Normal"/>
    <w:rsid w:val="00A04B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styleId="ListParagraph">
    <w:name w:val="List Paragraph"/>
    <w:basedOn w:val="Normal"/>
    <w:uiPriority w:val="34"/>
    <w:qFormat/>
    <w:rsid w:val="00806C60"/>
    <w:pPr>
      <w:spacing w:after="200" w:line="276" w:lineRule="auto"/>
      <w:ind w:left="720"/>
    </w:pPr>
    <w:rPr>
      <w:rFonts w:ascii="Calibri" w:eastAsia="Calibri" w:hAnsi="Calibri"/>
      <w:sz w:val="22"/>
      <w:szCs w:val="22"/>
      <w:lang w:val="en-US"/>
    </w:rPr>
  </w:style>
  <w:style w:type="paragraph" w:styleId="NoSpacing">
    <w:name w:val="No Spacing"/>
    <w:uiPriority w:val="1"/>
    <w:qFormat/>
    <w:rsid w:val="00B26BF0"/>
    <w:rPr>
      <w:rFonts w:ascii="Calibri" w:eastAsia="Calibri" w:hAnsi="Calibri"/>
      <w:sz w:val="22"/>
      <w:szCs w:val="22"/>
      <w:lang w:val="en-US" w:eastAsia="en-US"/>
    </w:rPr>
  </w:style>
  <w:style w:type="character" w:customStyle="1" w:styleId="tal1">
    <w:name w:val="tal1"/>
    <w:basedOn w:val="DefaultParagraphFont"/>
    <w:rsid w:val="000B2E28"/>
  </w:style>
  <w:style w:type="paragraph" w:styleId="Footer">
    <w:name w:val="footer"/>
    <w:basedOn w:val="Normal"/>
    <w:link w:val="FooterChar"/>
    <w:uiPriority w:val="99"/>
    <w:unhideWhenUsed/>
    <w:rsid w:val="00D57623"/>
    <w:pPr>
      <w:tabs>
        <w:tab w:val="center" w:pos="4536"/>
        <w:tab w:val="right" w:pos="9072"/>
      </w:tabs>
    </w:pPr>
  </w:style>
  <w:style w:type="character" w:customStyle="1" w:styleId="FooterChar">
    <w:name w:val="Footer Char"/>
    <w:basedOn w:val="DefaultParagraphFont"/>
    <w:link w:val="Footer"/>
    <w:uiPriority w:val="99"/>
    <w:rsid w:val="00D576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0706">
      <w:bodyDiv w:val="1"/>
      <w:marLeft w:val="0"/>
      <w:marRight w:val="0"/>
      <w:marTop w:val="0"/>
      <w:marBottom w:val="0"/>
      <w:divBdr>
        <w:top w:val="none" w:sz="0" w:space="0" w:color="auto"/>
        <w:left w:val="none" w:sz="0" w:space="0" w:color="auto"/>
        <w:bottom w:val="none" w:sz="0" w:space="0" w:color="auto"/>
        <w:right w:val="none" w:sz="0" w:space="0" w:color="auto"/>
      </w:divBdr>
      <w:divsChild>
        <w:div w:id="1172915056">
          <w:marLeft w:val="0"/>
          <w:marRight w:val="0"/>
          <w:marTop w:val="0"/>
          <w:marBottom w:val="0"/>
          <w:divBdr>
            <w:top w:val="none" w:sz="0" w:space="0" w:color="auto"/>
            <w:left w:val="none" w:sz="0" w:space="0" w:color="auto"/>
            <w:bottom w:val="none" w:sz="0" w:space="0" w:color="auto"/>
            <w:right w:val="none" w:sz="0" w:space="0" w:color="auto"/>
          </w:divBdr>
        </w:div>
        <w:div w:id="125659966">
          <w:marLeft w:val="0"/>
          <w:marRight w:val="0"/>
          <w:marTop w:val="0"/>
          <w:marBottom w:val="0"/>
          <w:divBdr>
            <w:top w:val="none" w:sz="0" w:space="0" w:color="auto"/>
            <w:left w:val="none" w:sz="0" w:space="0" w:color="auto"/>
            <w:bottom w:val="none" w:sz="0" w:space="0" w:color="auto"/>
            <w:right w:val="none" w:sz="0" w:space="0" w:color="auto"/>
          </w:divBdr>
        </w:div>
        <w:div w:id="1541626024">
          <w:marLeft w:val="0"/>
          <w:marRight w:val="0"/>
          <w:marTop w:val="0"/>
          <w:marBottom w:val="0"/>
          <w:divBdr>
            <w:top w:val="none" w:sz="0" w:space="0" w:color="auto"/>
            <w:left w:val="none" w:sz="0" w:space="0" w:color="auto"/>
            <w:bottom w:val="none" w:sz="0" w:space="0" w:color="auto"/>
            <w:right w:val="none" w:sz="0" w:space="0" w:color="auto"/>
          </w:divBdr>
        </w:div>
        <w:div w:id="1855681528">
          <w:marLeft w:val="0"/>
          <w:marRight w:val="0"/>
          <w:marTop w:val="0"/>
          <w:marBottom w:val="0"/>
          <w:divBdr>
            <w:top w:val="none" w:sz="0" w:space="0" w:color="auto"/>
            <w:left w:val="none" w:sz="0" w:space="0" w:color="auto"/>
            <w:bottom w:val="none" w:sz="0" w:space="0" w:color="auto"/>
            <w:right w:val="none" w:sz="0" w:space="0" w:color="auto"/>
          </w:divBdr>
        </w:div>
        <w:div w:id="673454007">
          <w:marLeft w:val="0"/>
          <w:marRight w:val="0"/>
          <w:marTop w:val="0"/>
          <w:marBottom w:val="0"/>
          <w:divBdr>
            <w:top w:val="none" w:sz="0" w:space="0" w:color="auto"/>
            <w:left w:val="none" w:sz="0" w:space="0" w:color="auto"/>
            <w:bottom w:val="none" w:sz="0" w:space="0" w:color="auto"/>
            <w:right w:val="none" w:sz="0" w:space="0" w:color="auto"/>
          </w:divBdr>
        </w:div>
        <w:div w:id="1462261563">
          <w:marLeft w:val="0"/>
          <w:marRight w:val="0"/>
          <w:marTop w:val="0"/>
          <w:marBottom w:val="0"/>
          <w:divBdr>
            <w:top w:val="none" w:sz="0" w:space="0" w:color="auto"/>
            <w:left w:val="none" w:sz="0" w:space="0" w:color="auto"/>
            <w:bottom w:val="none" w:sz="0" w:space="0" w:color="auto"/>
            <w:right w:val="none" w:sz="0" w:space="0" w:color="auto"/>
          </w:divBdr>
        </w:div>
      </w:divsChild>
    </w:div>
    <w:div w:id="231089919">
      <w:bodyDiv w:val="1"/>
      <w:marLeft w:val="0"/>
      <w:marRight w:val="0"/>
      <w:marTop w:val="0"/>
      <w:marBottom w:val="0"/>
      <w:divBdr>
        <w:top w:val="none" w:sz="0" w:space="0" w:color="auto"/>
        <w:left w:val="none" w:sz="0" w:space="0" w:color="auto"/>
        <w:bottom w:val="none" w:sz="0" w:space="0" w:color="auto"/>
        <w:right w:val="none" w:sz="0" w:space="0" w:color="auto"/>
      </w:divBdr>
    </w:div>
    <w:div w:id="323515779">
      <w:bodyDiv w:val="1"/>
      <w:marLeft w:val="0"/>
      <w:marRight w:val="0"/>
      <w:marTop w:val="0"/>
      <w:marBottom w:val="0"/>
      <w:divBdr>
        <w:top w:val="none" w:sz="0" w:space="0" w:color="auto"/>
        <w:left w:val="none" w:sz="0" w:space="0" w:color="auto"/>
        <w:bottom w:val="none" w:sz="0" w:space="0" w:color="auto"/>
        <w:right w:val="none" w:sz="0" w:space="0" w:color="auto"/>
      </w:divBdr>
    </w:div>
    <w:div w:id="416556202">
      <w:bodyDiv w:val="1"/>
      <w:marLeft w:val="0"/>
      <w:marRight w:val="0"/>
      <w:marTop w:val="0"/>
      <w:marBottom w:val="0"/>
      <w:divBdr>
        <w:top w:val="none" w:sz="0" w:space="0" w:color="auto"/>
        <w:left w:val="none" w:sz="0" w:space="0" w:color="auto"/>
        <w:bottom w:val="none" w:sz="0" w:space="0" w:color="auto"/>
        <w:right w:val="none" w:sz="0" w:space="0" w:color="auto"/>
      </w:divBdr>
    </w:div>
    <w:div w:id="479230657">
      <w:bodyDiv w:val="1"/>
      <w:marLeft w:val="0"/>
      <w:marRight w:val="0"/>
      <w:marTop w:val="0"/>
      <w:marBottom w:val="0"/>
      <w:divBdr>
        <w:top w:val="none" w:sz="0" w:space="0" w:color="auto"/>
        <w:left w:val="none" w:sz="0" w:space="0" w:color="auto"/>
        <w:bottom w:val="none" w:sz="0" w:space="0" w:color="auto"/>
        <w:right w:val="none" w:sz="0" w:space="0" w:color="auto"/>
      </w:divBdr>
    </w:div>
    <w:div w:id="507410251">
      <w:bodyDiv w:val="1"/>
      <w:marLeft w:val="0"/>
      <w:marRight w:val="0"/>
      <w:marTop w:val="0"/>
      <w:marBottom w:val="0"/>
      <w:divBdr>
        <w:top w:val="none" w:sz="0" w:space="0" w:color="auto"/>
        <w:left w:val="none" w:sz="0" w:space="0" w:color="auto"/>
        <w:bottom w:val="none" w:sz="0" w:space="0" w:color="auto"/>
        <w:right w:val="none" w:sz="0" w:space="0" w:color="auto"/>
      </w:divBdr>
    </w:div>
    <w:div w:id="547494261">
      <w:bodyDiv w:val="1"/>
      <w:marLeft w:val="0"/>
      <w:marRight w:val="0"/>
      <w:marTop w:val="0"/>
      <w:marBottom w:val="0"/>
      <w:divBdr>
        <w:top w:val="none" w:sz="0" w:space="0" w:color="auto"/>
        <w:left w:val="none" w:sz="0" w:space="0" w:color="auto"/>
        <w:bottom w:val="none" w:sz="0" w:space="0" w:color="auto"/>
        <w:right w:val="none" w:sz="0" w:space="0" w:color="auto"/>
      </w:divBdr>
    </w:div>
    <w:div w:id="618605961">
      <w:bodyDiv w:val="1"/>
      <w:marLeft w:val="0"/>
      <w:marRight w:val="0"/>
      <w:marTop w:val="0"/>
      <w:marBottom w:val="0"/>
      <w:divBdr>
        <w:top w:val="none" w:sz="0" w:space="0" w:color="auto"/>
        <w:left w:val="none" w:sz="0" w:space="0" w:color="auto"/>
        <w:bottom w:val="none" w:sz="0" w:space="0" w:color="auto"/>
        <w:right w:val="none" w:sz="0" w:space="0" w:color="auto"/>
      </w:divBdr>
    </w:div>
    <w:div w:id="669910385">
      <w:bodyDiv w:val="1"/>
      <w:marLeft w:val="0"/>
      <w:marRight w:val="0"/>
      <w:marTop w:val="0"/>
      <w:marBottom w:val="0"/>
      <w:divBdr>
        <w:top w:val="none" w:sz="0" w:space="0" w:color="auto"/>
        <w:left w:val="none" w:sz="0" w:space="0" w:color="auto"/>
        <w:bottom w:val="none" w:sz="0" w:space="0" w:color="auto"/>
        <w:right w:val="none" w:sz="0" w:space="0" w:color="auto"/>
      </w:divBdr>
    </w:div>
    <w:div w:id="1162501600">
      <w:bodyDiv w:val="1"/>
      <w:marLeft w:val="0"/>
      <w:marRight w:val="0"/>
      <w:marTop w:val="0"/>
      <w:marBottom w:val="0"/>
      <w:divBdr>
        <w:top w:val="none" w:sz="0" w:space="0" w:color="auto"/>
        <w:left w:val="none" w:sz="0" w:space="0" w:color="auto"/>
        <w:bottom w:val="none" w:sz="0" w:space="0" w:color="auto"/>
        <w:right w:val="none" w:sz="0" w:space="0" w:color="auto"/>
      </w:divBdr>
    </w:div>
    <w:div w:id="1179352660">
      <w:bodyDiv w:val="1"/>
      <w:marLeft w:val="0"/>
      <w:marRight w:val="0"/>
      <w:marTop w:val="0"/>
      <w:marBottom w:val="0"/>
      <w:divBdr>
        <w:top w:val="none" w:sz="0" w:space="0" w:color="auto"/>
        <w:left w:val="none" w:sz="0" w:space="0" w:color="auto"/>
        <w:bottom w:val="none" w:sz="0" w:space="0" w:color="auto"/>
        <w:right w:val="none" w:sz="0" w:space="0" w:color="auto"/>
      </w:divBdr>
    </w:div>
    <w:div w:id="1435898461">
      <w:bodyDiv w:val="1"/>
      <w:marLeft w:val="0"/>
      <w:marRight w:val="0"/>
      <w:marTop w:val="0"/>
      <w:marBottom w:val="0"/>
      <w:divBdr>
        <w:top w:val="none" w:sz="0" w:space="0" w:color="auto"/>
        <w:left w:val="none" w:sz="0" w:space="0" w:color="auto"/>
        <w:bottom w:val="none" w:sz="0" w:space="0" w:color="auto"/>
        <w:right w:val="none" w:sz="0" w:space="0" w:color="auto"/>
      </w:divBdr>
    </w:div>
    <w:div w:id="1500459697">
      <w:bodyDiv w:val="1"/>
      <w:marLeft w:val="0"/>
      <w:marRight w:val="0"/>
      <w:marTop w:val="0"/>
      <w:marBottom w:val="0"/>
      <w:divBdr>
        <w:top w:val="none" w:sz="0" w:space="0" w:color="auto"/>
        <w:left w:val="none" w:sz="0" w:space="0" w:color="auto"/>
        <w:bottom w:val="none" w:sz="0" w:space="0" w:color="auto"/>
        <w:right w:val="none" w:sz="0" w:space="0" w:color="auto"/>
      </w:divBdr>
    </w:div>
    <w:div w:id="1704479763">
      <w:bodyDiv w:val="1"/>
      <w:marLeft w:val="0"/>
      <w:marRight w:val="0"/>
      <w:marTop w:val="0"/>
      <w:marBottom w:val="0"/>
      <w:divBdr>
        <w:top w:val="none" w:sz="0" w:space="0" w:color="auto"/>
        <w:left w:val="none" w:sz="0" w:space="0" w:color="auto"/>
        <w:bottom w:val="none" w:sz="0" w:space="0" w:color="auto"/>
        <w:right w:val="none" w:sz="0" w:space="0" w:color="auto"/>
      </w:divBdr>
    </w:div>
    <w:div w:id="1727605840">
      <w:bodyDiv w:val="1"/>
      <w:marLeft w:val="0"/>
      <w:marRight w:val="0"/>
      <w:marTop w:val="0"/>
      <w:marBottom w:val="0"/>
      <w:divBdr>
        <w:top w:val="none" w:sz="0" w:space="0" w:color="auto"/>
        <w:left w:val="none" w:sz="0" w:space="0" w:color="auto"/>
        <w:bottom w:val="none" w:sz="0" w:space="0" w:color="auto"/>
        <w:right w:val="none" w:sz="0" w:space="0" w:color="auto"/>
      </w:divBdr>
    </w:div>
    <w:div w:id="1741753290">
      <w:bodyDiv w:val="1"/>
      <w:marLeft w:val="0"/>
      <w:marRight w:val="0"/>
      <w:marTop w:val="0"/>
      <w:marBottom w:val="0"/>
      <w:divBdr>
        <w:top w:val="none" w:sz="0" w:space="0" w:color="auto"/>
        <w:left w:val="none" w:sz="0" w:space="0" w:color="auto"/>
        <w:bottom w:val="none" w:sz="0" w:space="0" w:color="auto"/>
        <w:right w:val="none" w:sz="0" w:space="0" w:color="auto"/>
      </w:divBdr>
    </w:div>
    <w:div w:id="1848786533">
      <w:bodyDiv w:val="1"/>
      <w:marLeft w:val="0"/>
      <w:marRight w:val="0"/>
      <w:marTop w:val="0"/>
      <w:marBottom w:val="0"/>
      <w:divBdr>
        <w:top w:val="none" w:sz="0" w:space="0" w:color="auto"/>
        <w:left w:val="none" w:sz="0" w:space="0" w:color="auto"/>
        <w:bottom w:val="none" w:sz="0" w:space="0" w:color="auto"/>
        <w:right w:val="none" w:sz="0" w:space="0" w:color="auto"/>
      </w:divBdr>
    </w:div>
    <w:div w:id="1945839836">
      <w:bodyDiv w:val="1"/>
      <w:marLeft w:val="0"/>
      <w:marRight w:val="0"/>
      <w:marTop w:val="0"/>
      <w:marBottom w:val="0"/>
      <w:divBdr>
        <w:top w:val="none" w:sz="0" w:space="0" w:color="auto"/>
        <w:left w:val="none" w:sz="0" w:space="0" w:color="auto"/>
        <w:bottom w:val="none" w:sz="0" w:space="0" w:color="auto"/>
        <w:right w:val="none" w:sz="0" w:space="0" w:color="auto"/>
      </w:divBdr>
    </w:div>
    <w:div w:id="2119715968">
      <w:bodyDiv w:val="1"/>
      <w:marLeft w:val="0"/>
      <w:marRight w:val="0"/>
      <w:marTop w:val="0"/>
      <w:marBottom w:val="0"/>
      <w:divBdr>
        <w:top w:val="none" w:sz="0" w:space="0" w:color="auto"/>
        <w:left w:val="none" w:sz="0" w:space="0" w:color="auto"/>
        <w:bottom w:val="none" w:sz="0" w:space="0" w:color="auto"/>
        <w:right w:val="none" w:sz="0" w:space="0" w:color="auto"/>
      </w:divBdr>
    </w:div>
    <w:div w:id="21352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6CA4-1212-4181-8B4F-DC53F5A3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3750</Words>
  <Characters>21377</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Hewlett-Packard Company</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user17</dc:creator>
  <cp:lastModifiedBy>Simona Dinca</cp:lastModifiedBy>
  <cp:revision>9</cp:revision>
  <cp:lastPrinted>2020-03-03T10:02:00Z</cp:lastPrinted>
  <dcterms:created xsi:type="dcterms:W3CDTF">2020-02-24T08:44:00Z</dcterms:created>
  <dcterms:modified xsi:type="dcterms:W3CDTF">2020-03-03T10:02:00Z</dcterms:modified>
</cp:coreProperties>
</file>